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EBEF">
      <w:pPr>
        <w:topLinePunct/>
        <w:autoSpaceDE w:val="0"/>
        <w:autoSpaceDN w:val="0"/>
        <w:jc w:val="center"/>
        <w:rPr>
          <w:rFonts w:hint="eastAsia" w:ascii="华文中宋" w:hAnsi="华文中宋" w:eastAsia="华文中宋" w:cs="华文中宋"/>
          <w:bCs/>
          <w:color w:val="auto"/>
          <w:sz w:val="32"/>
          <w:szCs w:val="32"/>
          <w:highlight w:val="none"/>
        </w:rPr>
      </w:pPr>
    </w:p>
    <w:p w14:paraId="4FA2CB51">
      <w:pPr>
        <w:topLinePunct/>
        <w:autoSpaceDE w:val="0"/>
        <w:autoSpaceDN w:val="0"/>
        <w:jc w:val="center"/>
        <w:rPr>
          <w:rFonts w:hint="eastAsia" w:ascii="华文中宋" w:hAnsi="华文中宋" w:eastAsia="华文中宋" w:cs="华文中宋"/>
          <w:bCs/>
          <w:color w:val="auto"/>
          <w:sz w:val="32"/>
          <w:szCs w:val="32"/>
          <w:highlight w:val="none"/>
        </w:rPr>
      </w:pPr>
    </w:p>
    <w:p w14:paraId="76E6DACB">
      <w:pPr>
        <w:topLinePunct/>
        <w:autoSpaceDE w:val="0"/>
        <w:autoSpaceDN w:val="0"/>
        <w:jc w:val="center"/>
        <w:rPr>
          <w:rFonts w:hint="eastAsia" w:ascii="华文中宋" w:hAnsi="华文中宋" w:eastAsia="华文中宋" w:cs="华文中宋"/>
          <w:bCs/>
          <w:color w:val="auto"/>
          <w:sz w:val="32"/>
          <w:szCs w:val="32"/>
          <w:highlight w:val="none"/>
        </w:rPr>
      </w:pPr>
    </w:p>
    <w:p w14:paraId="71DE23D4">
      <w:pPr>
        <w:topLinePunct/>
        <w:autoSpaceDE w:val="0"/>
        <w:autoSpaceDN w:val="0"/>
        <w:jc w:val="center"/>
        <w:rPr>
          <w:rFonts w:hint="eastAsia" w:ascii="华文中宋" w:hAnsi="华文中宋" w:eastAsia="华文中宋" w:cs="华文中宋"/>
          <w:bCs/>
          <w:color w:val="auto"/>
          <w:sz w:val="32"/>
          <w:szCs w:val="32"/>
          <w:highlight w:val="none"/>
        </w:rPr>
      </w:pPr>
    </w:p>
    <w:p w14:paraId="18DCE4A5">
      <w:pPr>
        <w:topLinePunct/>
        <w:autoSpaceDE w:val="0"/>
        <w:autoSpaceDN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招 标 文 件</w:t>
      </w:r>
    </w:p>
    <w:p w14:paraId="3CC64156">
      <w:pPr>
        <w:topLinePunct/>
        <w:autoSpaceDE w:val="0"/>
        <w:autoSpaceDN w:val="0"/>
        <w:spacing w:line="60" w:lineRule="exact"/>
        <w:jc w:val="center"/>
        <w:rPr>
          <w:rFonts w:hint="eastAsia" w:ascii="华文中宋" w:hAnsi="华文中宋" w:eastAsia="华文中宋" w:cs="华文中宋"/>
          <w:bCs/>
          <w:color w:val="auto"/>
          <w:sz w:val="32"/>
          <w:szCs w:val="32"/>
          <w:highlight w:val="none"/>
        </w:rPr>
      </w:pPr>
    </w:p>
    <w:p w14:paraId="2249B5F2">
      <w:pPr>
        <w:topLinePunct/>
        <w:autoSpaceDE w:val="0"/>
        <w:autoSpaceDN w:val="0"/>
        <w:snapToGrid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（商务部分）</w:t>
      </w:r>
    </w:p>
    <w:p w14:paraId="60AABB60">
      <w:pPr>
        <w:topLinePunct/>
        <w:autoSpaceDE w:val="0"/>
        <w:autoSpaceDN w:val="0"/>
        <w:snapToGrid w:val="0"/>
        <w:rPr>
          <w:rFonts w:hint="eastAsia" w:ascii="华文中宋" w:hAnsi="华文中宋" w:eastAsia="华文中宋" w:cs="华文中宋"/>
          <w:bCs/>
          <w:color w:val="auto"/>
          <w:sz w:val="32"/>
          <w:szCs w:val="32"/>
          <w:highlight w:val="none"/>
        </w:rPr>
      </w:pPr>
    </w:p>
    <w:p w14:paraId="5425901E">
      <w:pPr>
        <w:jc w:val="center"/>
        <w:rPr>
          <w:rFonts w:hint="eastAsia" w:ascii="方正小标宋简体" w:hAnsi="方正小标宋简体" w:eastAsia="方正小标宋简体" w:cs="方正小标宋简体"/>
          <w:color w:val="auto"/>
          <w:sz w:val="24"/>
          <w:szCs w:val="24"/>
          <w:highlight w:val="none"/>
        </w:rPr>
      </w:pPr>
    </w:p>
    <w:p w14:paraId="532836BB">
      <w:pPr>
        <w:jc w:val="center"/>
        <w:rPr>
          <w:rFonts w:hint="eastAsia" w:ascii="方正小标宋简体" w:hAnsi="方正小标宋简体" w:eastAsia="方正小标宋简体" w:cs="方正小标宋简体"/>
          <w:color w:val="auto"/>
          <w:sz w:val="24"/>
          <w:szCs w:val="24"/>
          <w:highlight w:val="none"/>
        </w:rPr>
      </w:pPr>
    </w:p>
    <w:p w14:paraId="10F9FCE8">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项目名称：</w:t>
      </w:r>
      <w:r>
        <w:rPr>
          <w:rFonts w:hint="eastAsia" w:ascii="方正小标宋简体" w:hAnsi="方正小标宋简体" w:eastAsia="方正小标宋简体" w:cs="方正小标宋简体"/>
          <w:color w:val="auto"/>
          <w:sz w:val="24"/>
          <w:szCs w:val="24"/>
          <w:highlight w:val="none"/>
          <w:u w:val="single"/>
        </w:rPr>
        <w:t>国家税务总局福州市税务局12366纳税服务咨询外包采购项目</w:t>
      </w:r>
    </w:p>
    <w:p w14:paraId="19211E49">
      <w:pPr>
        <w:jc w:val="center"/>
        <w:rPr>
          <w:rFonts w:hint="eastAsia" w:ascii="方正小标宋简体" w:hAnsi="方正小标宋简体" w:eastAsia="方正小标宋简体" w:cs="方正小标宋简体"/>
          <w:color w:val="auto"/>
          <w:sz w:val="24"/>
          <w:szCs w:val="24"/>
          <w:highlight w:val="none"/>
          <w:lang w:eastAsia="zh-CN"/>
        </w:rPr>
      </w:pPr>
      <w:r>
        <w:rPr>
          <w:rFonts w:hint="eastAsia" w:ascii="方正小标宋简体" w:hAnsi="方正小标宋简体" w:eastAsia="方正小标宋简体" w:cs="方正小标宋简体"/>
          <w:color w:val="auto"/>
          <w:sz w:val="24"/>
          <w:szCs w:val="24"/>
          <w:highlight w:val="none"/>
        </w:rPr>
        <w:t>项目编号：</w:t>
      </w:r>
      <w:r>
        <w:rPr>
          <w:rFonts w:hint="eastAsia" w:ascii="方正小标宋简体" w:hAnsi="方正小标宋简体" w:eastAsia="方正小标宋简体" w:cs="方正小标宋简体"/>
          <w:color w:val="auto"/>
          <w:sz w:val="24"/>
          <w:szCs w:val="24"/>
          <w:highlight w:val="none"/>
          <w:u w:val="single"/>
          <w:lang w:eastAsia="zh-CN"/>
        </w:rPr>
        <w:t>FJ2025-DLGK-C0019-B00</w:t>
      </w:r>
    </w:p>
    <w:p w14:paraId="063BCB49">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 购 人：</w:t>
      </w:r>
      <w:r>
        <w:rPr>
          <w:rFonts w:hint="eastAsia" w:ascii="方正小标宋简体" w:hAnsi="方正小标宋简体" w:eastAsia="方正小标宋简体" w:cs="方正小标宋简体"/>
          <w:color w:val="auto"/>
          <w:sz w:val="24"/>
          <w:szCs w:val="24"/>
          <w:highlight w:val="none"/>
          <w:u w:val="single"/>
        </w:rPr>
        <w:t>国家税务总局福州市税务局</w:t>
      </w:r>
    </w:p>
    <w:p w14:paraId="45A36D66">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采购代理机构：</w:t>
      </w:r>
      <w:r>
        <w:rPr>
          <w:rFonts w:hint="eastAsia" w:ascii="方正小标宋简体" w:hAnsi="方正小标宋简体" w:eastAsia="方正小标宋简体" w:cs="方正小标宋简体"/>
          <w:color w:val="auto"/>
          <w:sz w:val="24"/>
          <w:szCs w:val="24"/>
          <w:highlight w:val="none"/>
          <w:u w:val="single"/>
        </w:rPr>
        <w:t>福建省福瑞工程管理有限公司</w:t>
      </w:r>
    </w:p>
    <w:p w14:paraId="22105931">
      <w:pPr>
        <w:topLinePunct/>
        <w:autoSpaceDE w:val="0"/>
        <w:autoSpaceDN w:val="0"/>
        <w:spacing w:line="460" w:lineRule="exact"/>
        <w:rPr>
          <w:rFonts w:hint="eastAsia" w:ascii="方正小标宋简体" w:hAnsi="方正小标宋简体" w:eastAsia="方正小标宋简体" w:cs="方正小标宋简体"/>
          <w:color w:val="auto"/>
          <w:sz w:val="24"/>
          <w:szCs w:val="24"/>
          <w:highlight w:val="none"/>
        </w:rPr>
      </w:pPr>
    </w:p>
    <w:p w14:paraId="791462E0">
      <w:pPr>
        <w:topLinePunct/>
        <w:autoSpaceDE w:val="0"/>
        <w:autoSpaceDN w:val="0"/>
        <w:spacing w:line="460" w:lineRule="exact"/>
        <w:jc w:val="center"/>
        <w:rPr>
          <w:rFonts w:hint="eastAsia" w:ascii="方正小标宋简体" w:hAnsi="方正小标宋简体" w:eastAsia="方正小标宋简体" w:cs="方正小标宋简体"/>
          <w:color w:val="auto"/>
          <w:sz w:val="24"/>
          <w:szCs w:val="24"/>
          <w:highlight w:val="none"/>
        </w:rPr>
      </w:pPr>
    </w:p>
    <w:p w14:paraId="6D6E49B6">
      <w:pPr>
        <w:topLinePunct/>
        <w:autoSpaceDE w:val="0"/>
        <w:autoSpaceDN w:val="0"/>
        <w:spacing w:line="460" w:lineRule="exact"/>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国家税务总局福州市税务局</w:t>
      </w:r>
    </w:p>
    <w:p w14:paraId="72DD3407">
      <w:pPr>
        <w:topLinePunct/>
        <w:autoSpaceDE w:val="0"/>
        <w:autoSpaceDN w:val="0"/>
        <w:spacing w:line="160" w:lineRule="exact"/>
        <w:jc w:val="center"/>
        <w:rPr>
          <w:rFonts w:hint="eastAsia" w:ascii="方正小标宋简体" w:hAnsi="方正小标宋简体" w:eastAsia="方正小标宋简体" w:cs="方正小标宋简体"/>
          <w:color w:val="auto"/>
          <w:sz w:val="24"/>
          <w:szCs w:val="24"/>
          <w:highlight w:val="none"/>
        </w:rPr>
      </w:pPr>
    </w:p>
    <w:p w14:paraId="3E35EFDD">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2025年4月</w:t>
      </w:r>
      <w:r>
        <w:rPr>
          <w:rFonts w:hint="eastAsia" w:ascii="方正小标宋简体" w:hAnsi="方正小标宋简体" w:eastAsia="方正小标宋简体" w:cs="方正小标宋简体"/>
          <w:color w:val="auto"/>
          <w:sz w:val="24"/>
          <w:szCs w:val="24"/>
          <w:highlight w:val="none"/>
          <w:lang w:val="en-US" w:eastAsia="zh-CN"/>
        </w:rPr>
        <w:t>14</w:t>
      </w:r>
      <w:r>
        <w:rPr>
          <w:rFonts w:hint="eastAsia" w:ascii="方正小标宋简体" w:hAnsi="方正小标宋简体" w:eastAsia="方正小标宋简体" w:cs="方正小标宋简体"/>
          <w:color w:val="auto"/>
          <w:sz w:val="24"/>
          <w:szCs w:val="24"/>
          <w:highlight w:val="none"/>
        </w:rPr>
        <w:t>日</w:t>
      </w:r>
    </w:p>
    <w:p w14:paraId="2D73A28A">
      <w:pPr>
        <w:rPr>
          <w:color w:val="auto"/>
          <w:sz w:val="32"/>
          <w:szCs w:val="32"/>
          <w:highlight w:val="none"/>
        </w:rPr>
      </w:pPr>
    </w:p>
    <w:p w14:paraId="193AC3C2">
      <w:pPr>
        <w:rPr>
          <w:color w:val="auto"/>
          <w:sz w:val="32"/>
          <w:szCs w:val="32"/>
          <w:highlight w:val="none"/>
        </w:rPr>
      </w:pPr>
    </w:p>
    <w:p w14:paraId="0F97839A">
      <w:pPr>
        <w:rPr>
          <w:color w:val="auto"/>
          <w:sz w:val="32"/>
          <w:szCs w:val="32"/>
          <w:highlight w:val="none"/>
        </w:rPr>
        <w:sectPr>
          <w:footerReference r:id="rId3" w:type="default"/>
          <w:pgSz w:w="11906" w:h="16838"/>
          <w:pgMar w:top="1440" w:right="1752" w:bottom="1440" w:left="1752" w:header="851" w:footer="992" w:gutter="0"/>
          <w:cols w:space="720" w:num="1"/>
          <w:docGrid w:type="lines" w:linePitch="312" w:charSpace="0"/>
        </w:sectPr>
      </w:pPr>
    </w:p>
    <w:p w14:paraId="76517D29">
      <w:pPr>
        <w:jc w:val="center"/>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zh-CN"/>
        </w:rPr>
        <w:t>目  录</w:t>
      </w:r>
    </w:p>
    <w:p w14:paraId="5585F8CE">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"_Toc132880271" </w:instrText>
      </w:r>
      <w:r>
        <w:rPr>
          <w:color w:val="auto"/>
          <w:highlight w:val="none"/>
        </w:rPr>
        <w:fldChar w:fldCharType="separate"/>
      </w:r>
      <w:r>
        <w:rPr>
          <w:rStyle w:val="22"/>
          <w:rFonts w:hint="eastAsia"/>
          <w:color w:val="auto"/>
          <w:szCs w:val="21"/>
          <w:highlight w:val="none"/>
        </w:rPr>
        <w:t>第一章</w:t>
      </w:r>
      <w:r>
        <w:rPr>
          <w:rStyle w:val="22"/>
          <w:color w:val="auto"/>
          <w:szCs w:val="21"/>
          <w:highlight w:val="none"/>
        </w:rPr>
        <w:t xml:space="preserve">  </w:t>
      </w:r>
      <w:r>
        <w:rPr>
          <w:rStyle w:val="22"/>
          <w:rFonts w:hint="eastAsia"/>
          <w:color w:val="auto"/>
          <w:szCs w:val="21"/>
          <w:highlight w:val="none"/>
        </w:rPr>
        <w:t>投标邀请</w:t>
      </w:r>
      <w:r>
        <w:rPr>
          <w:color w:val="auto"/>
          <w:szCs w:val="21"/>
          <w:highlight w:val="none"/>
        </w:rPr>
        <w:tab/>
      </w:r>
      <w:r>
        <w:rPr>
          <w:color w:val="auto"/>
          <w:szCs w:val="21"/>
          <w:highlight w:val="none"/>
        </w:rPr>
        <w:fldChar w:fldCharType="end"/>
      </w:r>
      <w:r>
        <w:rPr>
          <w:rFonts w:hint="eastAsia"/>
          <w:color w:val="auto"/>
          <w:szCs w:val="21"/>
          <w:highlight w:val="none"/>
        </w:rPr>
        <w:t>3</w:t>
      </w:r>
    </w:p>
    <w:p w14:paraId="2ED3C077">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"_Toc132880272" </w:instrText>
      </w:r>
      <w:r>
        <w:rPr>
          <w:color w:val="auto"/>
          <w:highlight w:val="none"/>
        </w:rPr>
        <w:fldChar w:fldCharType="separate"/>
      </w:r>
      <w:r>
        <w:rPr>
          <w:rStyle w:val="22"/>
          <w:rFonts w:hint="eastAsia"/>
          <w:color w:val="auto"/>
          <w:szCs w:val="21"/>
          <w:highlight w:val="none"/>
        </w:rPr>
        <w:t>第二章　投标人须知</w:t>
      </w:r>
      <w:r>
        <w:rPr>
          <w:color w:val="auto"/>
          <w:szCs w:val="21"/>
          <w:highlight w:val="none"/>
        </w:rPr>
        <w:tab/>
      </w:r>
      <w:r>
        <w:rPr>
          <w:color w:val="auto"/>
          <w:szCs w:val="21"/>
          <w:highlight w:val="none"/>
        </w:rPr>
        <w:fldChar w:fldCharType="end"/>
      </w:r>
      <w:r>
        <w:rPr>
          <w:rFonts w:hint="eastAsia"/>
          <w:color w:val="auto"/>
          <w:szCs w:val="21"/>
          <w:highlight w:val="none"/>
        </w:rPr>
        <w:t>7</w:t>
      </w:r>
    </w:p>
    <w:p w14:paraId="3C9214E2">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"_Toc132880273" </w:instrText>
      </w:r>
      <w:r>
        <w:rPr>
          <w:color w:val="auto"/>
          <w:highlight w:val="none"/>
        </w:rPr>
        <w:fldChar w:fldCharType="separate"/>
      </w:r>
      <w:r>
        <w:rPr>
          <w:rStyle w:val="22"/>
          <w:rFonts w:hint="eastAsia"/>
          <w:color w:val="auto"/>
          <w:szCs w:val="21"/>
          <w:highlight w:val="none"/>
        </w:rPr>
        <w:t>投标人须知前附表</w:t>
      </w:r>
      <w:r>
        <w:rPr>
          <w:color w:val="auto"/>
          <w:szCs w:val="21"/>
          <w:highlight w:val="none"/>
        </w:rPr>
        <w:tab/>
      </w:r>
      <w:r>
        <w:rPr>
          <w:color w:val="auto"/>
          <w:szCs w:val="21"/>
          <w:highlight w:val="none"/>
        </w:rPr>
        <w:fldChar w:fldCharType="end"/>
      </w:r>
      <w:r>
        <w:rPr>
          <w:rFonts w:hint="eastAsia"/>
          <w:color w:val="auto"/>
          <w:szCs w:val="21"/>
          <w:highlight w:val="none"/>
        </w:rPr>
        <w:t>7</w:t>
      </w:r>
    </w:p>
    <w:p w14:paraId="53D95DDD">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"_Toc132880274" </w:instrText>
      </w:r>
      <w:r>
        <w:rPr>
          <w:color w:val="auto"/>
          <w:highlight w:val="none"/>
        </w:rPr>
        <w:fldChar w:fldCharType="separate"/>
      </w:r>
      <w:r>
        <w:rPr>
          <w:rStyle w:val="22"/>
          <w:rFonts w:hint="eastAsia"/>
          <w:color w:val="auto"/>
          <w:szCs w:val="21"/>
          <w:highlight w:val="none"/>
        </w:rPr>
        <w:t>一、总则</w:t>
      </w:r>
      <w:r>
        <w:rPr>
          <w:color w:val="auto"/>
          <w:szCs w:val="21"/>
          <w:highlight w:val="none"/>
        </w:rPr>
        <w:tab/>
      </w:r>
      <w:r>
        <w:rPr>
          <w:color w:val="auto"/>
          <w:szCs w:val="21"/>
          <w:highlight w:val="none"/>
        </w:rPr>
        <w:fldChar w:fldCharType="end"/>
      </w:r>
      <w:r>
        <w:rPr>
          <w:rFonts w:hint="eastAsia"/>
          <w:color w:val="auto"/>
          <w:szCs w:val="21"/>
          <w:highlight w:val="none"/>
        </w:rPr>
        <w:t>14</w:t>
      </w:r>
    </w:p>
    <w:p w14:paraId="69340CDC">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"_Toc132880275" </w:instrText>
      </w:r>
      <w:r>
        <w:rPr>
          <w:color w:val="auto"/>
          <w:highlight w:val="none"/>
        </w:rPr>
        <w:fldChar w:fldCharType="separate"/>
      </w:r>
      <w:r>
        <w:rPr>
          <w:rStyle w:val="22"/>
          <w:rFonts w:hint="eastAsia"/>
          <w:color w:val="auto"/>
          <w:szCs w:val="21"/>
          <w:highlight w:val="none"/>
        </w:rPr>
        <w:t>二、招标文件</w:t>
      </w:r>
      <w:r>
        <w:rPr>
          <w:color w:val="auto"/>
          <w:szCs w:val="21"/>
          <w:highlight w:val="none"/>
        </w:rPr>
        <w:tab/>
      </w:r>
      <w:r>
        <w:rPr>
          <w:color w:val="auto"/>
          <w:szCs w:val="21"/>
          <w:highlight w:val="none"/>
        </w:rPr>
        <w:fldChar w:fldCharType="end"/>
      </w:r>
      <w:r>
        <w:rPr>
          <w:rFonts w:hint="eastAsia"/>
          <w:color w:val="auto"/>
          <w:szCs w:val="21"/>
          <w:highlight w:val="none"/>
        </w:rPr>
        <w:t>15</w:t>
      </w:r>
    </w:p>
    <w:p w14:paraId="005CB866">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"_Toc132880276" </w:instrText>
      </w:r>
      <w:r>
        <w:rPr>
          <w:color w:val="auto"/>
          <w:highlight w:val="none"/>
        </w:rPr>
        <w:fldChar w:fldCharType="separate"/>
      </w:r>
      <w:r>
        <w:rPr>
          <w:rStyle w:val="22"/>
          <w:rFonts w:hint="eastAsia"/>
          <w:color w:val="auto"/>
          <w:szCs w:val="21"/>
          <w:highlight w:val="none"/>
        </w:rPr>
        <w:t>三、投标文件</w:t>
      </w:r>
      <w:r>
        <w:rPr>
          <w:color w:val="auto"/>
          <w:szCs w:val="21"/>
          <w:highlight w:val="none"/>
        </w:rPr>
        <w:tab/>
      </w:r>
      <w:r>
        <w:rPr>
          <w:color w:val="auto"/>
          <w:szCs w:val="21"/>
          <w:highlight w:val="none"/>
        </w:rPr>
        <w:fldChar w:fldCharType="end"/>
      </w:r>
      <w:r>
        <w:rPr>
          <w:rFonts w:hint="eastAsia"/>
          <w:color w:val="auto"/>
          <w:szCs w:val="21"/>
          <w:highlight w:val="none"/>
        </w:rPr>
        <w:t>16</w:t>
      </w:r>
    </w:p>
    <w:p w14:paraId="639E2EDD">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"_Toc132880277" </w:instrText>
      </w:r>
      <w:r>
        <w:rPr>
          <w:color w:val="auto"/>
          <w:highlight w:val="none"/>
        </w:rPr>
        <w:fldChar w:fldCharType="separate"/>
      </w:r>
      <w:r>
        <w:rPr>
          <w:rStyle w:val="22"/>
          <w:rFonts w:hint="eastAsia"/>
          <w:color w:val="auto"/>
          <w:szCs w:val="21"/>
          <w:highlight w:val="none"/>
        </w:rPr>
        <w:t>四、投标文件递交</w:t>
      </w:r>
      <w:r>
        <w:rPr>
          <w:color w:val="auto"/>
          <w:szCs w:val="21"/>
          <w:highlight w:val="none"/>
        </w:rPr>
        <w:tab/>
      </w:r>
      <w:r>
        <w:rPr>
          <w:color w:val="auto"/>
          <w:szCs w:val="21"/>
          <w:highlight w:val="none"/>
        </w:rPr>
        <w:fldChar w:fldCharType="end"/>
      </w:r>
      <w:r>
        <w:rPr>
          <w:rFonts w:hint="eastAsia"/>
          <w:color w:val="auto"/>
          <w:szCs w:val="21"/>
          <w:highlight w:val="none"/>
        </w:rPr>
        <w:t>18</w:t>
      </w:r>
    </w:p>
    <w:p w14:paraId="03511765">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"_Toc132880278" </w:instrText>
      </w:r>
      <w:r>
        <w:rPr>
          <w:color w:val="auto"/>
          <w:highlight w:val="none"/>
        </w:rPr>
        <w:fldChar w:fldCharType="separate"/>
      </w:r>
      <w:r>
        <w:rPr>
          <w:rStyle w:val="22"/>
          <w:rFonts w:hint="eastAsia"/>
          <w:color w:val="auto"/>
          <w:szCs w:val="21"/>
          <w:highlight w:val="none"/>
        </w:rPr>
        <w:t>五、开标与评标</w:t>
      </w:r>
      <w:r>
        <w:rPr>
          <w:color w:val="auto"/>
          <w:szCs w:val="21"/>
          <w:highlight w:val="none"/>
        </w:rPr>
        <w:tab/>
      </w:r>
      <w:r>
        <w:rPr>
          <w:color w:val="auto"/>
          <w:szCs w:val="21"/>
          <w:highlight w:val="none"/>
        </w:rPr>
        <w:fldChar w:fldCharType="end"/>
      </w:r>
      <w:r>
        <w:rPr>
          <w:rFonts w:hint="eastAsia"/>
          <w:color w:val="auto"/>
          <w:szCs w:val="21"/>
          <w:highlight w:val="none"/>
        </w:rPr>
        <w:t>18</w:t>
      </w:r>
    </w:p>
    <w:p w14:paraId="0C5D682F">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"_Toc132880279" </w:instrText>
      </w:r>
      <w:r>
        <w:rPr>
          <w:color w:val="auto"/>
          <w:highlight w:val="none"/>
        </w:rPr>
        <w:fldChar w:fldCharType="separate"/>
      </w:r>
      <w:r>
        <w:rPr>
          <w:rStyle w:val="22"/>
          <w:rFonts w:hint="eastAsia"/>
          <w:color w:val="auto"/>
          <w:szCs w:val="21"/>
          <w:highlight w:val="none"/>
        </w:rPr>
        <w:t>六、中标和合同</w:t>
      </w:r>
      <w:r>
        <w:rPr>
          <w:color w:val="auto"/>
          <w:szCs w:val="21"/>
          <w:highlight w:val="none"/>
        </w:rPr>
        <w:tab/>
      </w:r>
      <w:r>
        <w:rPr>
          <w:color w:val="auto"/>
          <w:szCs w:val="21"/>
          <w:highlight w:val="none"/>
        </w:rPr>
        <w:fldChar w:fldCharType="end"/>
      </w:r>
      <w:r>
        <w:rPr>
          <w:rFonts w:hint="eastAsia"/>
          <w:color w:val="auto"/>
          <w:szCs w:val="21"/>
          <w:highlight w:val="none"/>
        </w:rPr>
        <w:t>22</w:t>
      </w:r>
    </w:p>
    <w:p w14:paraId="75A97E38">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"_Toc132880280" </w:instrText>
      </w:r>
      <w:r>
        <w:rPr>
          <w:color w:val="auto"/>
          <w:highlight w:val="none"/>
        </w:rPr>
        <w:fldChar w:fldCharType="separate"/>
      </w:r>
      <w:r>
        <w:rPr>
          <w:rStyle w:val="22"/>
          <w:rFonts w:hint="eastAsia"/>
          <w:color w:val="auto"/>
          <w:szCs w:val="21"/>
          <w:highlight w:val="none"/>
        </w:rPr>
        <w:t>七、询问和质疑</w:t>
      </w:r>
      <w:r>
        <w:rPr>
          <w:color w:val="auto"/>
          <w:szCs w:val="21"/>
          <w:highlight w:val="none"/>
        </w:rPr>
        <w:tab/>
      </w:r>
      <w:r>
        <w:rPr>
          <w:color w:val="auto"/>
          <w:szCs w:val="21"/>
          <w:highlight w:val="none"/>
        </w:rPr>
        <w:fldChar w:fldCharType="end"/>
      </w:r>
      <w:r>
        <w:rPr>
          <w:rFonts w:hint="eastAsia"/>
          <w:color w:val="auto"/>
          <w:szCs w:val="21"/>
          <w:highlight w:val="none"/>
        </w:rPr>
        <w:t>23</w:t>
      </w:r>
    </w:p>
    <w:p w14:paraId="7363144F">
      <w:pPr>
        <w:pStyle w:val="16"/>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"_Toc132880281" </w:instrText>
      </w:r>
      <w:r>
        <w:rPr>
          <w:color w:val="auto"/>
          <w:highlight w:val="none"/>
        </w:rPr>
        <w:fldChar w:fldCharType="separate"/>
      </w:r>
      <w:r>
        <w:rPr>
          <w:rStyle w:val="22"/>
          <w:rFonts w:hint="eastAsia"/>
          <w:color w:val="auto"/>
          <w:szCs w:val="21"/>
          <w:highlight w:val="none"/>
        </w:rPr>
        <w:t>八、其他</w:t>
      </w:r>
      <w:r>
        <w:rPr>
          <w:color w:val="auto"/>
          <w:szCs w:val="21"/>
          <w:highlight w:val="none"/>
        </w:rPr>
        <w:tab/>
      </w:r>
      <w:r>
        <w:rPr>
          <w:color w:val="auto"/>
          <w:szCs w:val="21"/>
          <w:highlight w:val="none"/>
        </w:rPr>
        <w:fldChar w:fldCharType="end"/>
      </w:r>
      <w:r>
        <w:rPr>
          <w:rFonts w:hint="eastAsia"/>
          <w:color w:val="auto"/>
          <w:szCs w:val="21"/>
          <w:highlight w:val="none"/>
        </w:rPr>
        <w:t>24</w:t>
      </w:r>
    </w:p>
    <w:p w14:paraId="595174A1">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"_Toc132880282" </w:instrText>
      </w:r>
      <w:r>
        <w:rPr>
          <w:color w:val="auto"/>
          <w:highlight w:val="none"/>
        </w:rPr>
        <w:fldChar w:fldCharType="separate"/>
      </w:r>
      <w:r>
        <w:rPr>
          <w:rStyle w:val="22"/>
          <w:rFonts w:hint="eastAsia"/>
          <w:color w:val="auto"/>
          <w:szCs w:val="21"/>
          <w:highlight w:val="none"/>
        </w:rPr>
        <w:t>第三章</w:t>
      </w:r>
      <w:r>
        <w:rPr>
          <w:rStyle w:val="22"/>
          <w:color w:val="auto"/>
          <w:szCs w:val="21"/>
          <w:highlight w:val="none"/>
        </w:rPr>
        <w:t xml:space="preserve">  </w:t>
      </w:r>
      <w:r>
        <w:rPr>
          <w:rStyle w:val="22"/>
          <w:rFonts w:hint="eastAsia"/>
          <w:color w:val="auto"/>
          <w:szCs w:val="21"/>
          <w:highlight w:val="none"/>
        </w:rPr>
        <w:t>评标方法及标准</w:t>
      </w:r>
      <w:r>
        <w:rPr>
          <w:color w:val="auto"/>
          <w:szCs w:val="21"/>
          <w:highlight w:val="none"/>
        </w:rPr>
        <w:tab/>
      </w:r>
      <w:r>
        <w:rPr>
          <w:color w:val="auto"/>
          <w:szCs w:val="21"/>
          <w:highlight w:val="none"/>
        </w:rPr>
        <w:fldChar w:fldCharType="end"/>
      </w:r>
      <w:r>
        <w:rPr>
          <w:rFonts w:hint="eastAsia"/>
          <w:color w:val="auto"/>
          <w:szCs w:val="21"/>
          <w:highlight w:val="none"/>
        </w:rPr>
        <w:t>25</w:t>
      </w:r>
    </w:p>
    <w:p w14:paraId="42CBC262">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"_Toc132880283" </w:instrText>
      </w:r>
      <w:r>
        <w:rPr>
          <w:color w:val="auto"/>
          <w:highlight w:val="none"/>
        </w:rPr>
        <w:fldChar w:fldCharType="separate"/>
      </w:r>
      <w:r>
        <w:rPr>
          <w:rStyle w:val="22"/>
          <w:rFonts w:hint="eastAsia"/>
          <w:color w:val="auto"/>
          <w:szCs w:val="21"/>
          <w:highlight w:val="none"/>
        </w:rPr>
        <w:t>第四章</w:t>
      </w:r>
      <w:r>
        <w:rPr>
          <w:rStyle w:val="22"/>
          <w:color w:val="auto"/>
          <w:szCs w:val="21"/>
          <w:highlight w:val="none"/>
        </w:rPr>
        <w:t xml:space="preserve">  </w:t>
      </w:r>
      <w:r>
        <w:rPr>
          <w:rStyle w:val="22"/>
          <w:rFonts w:hint="eastAsia"/>
          <w:color w:val="auto"/>
          <w:szCs w:val="21"/>
          <w:highlight w:val="none"/>
        </w:rPr>
        <w:t>政府采购合同文本</w:t>
      </w:r>
      <w:r>
        <w:rPr>
          <w:color w:val="auto"/>
          <w:szCs w:val="21"/>
          <w:highlight w:val="none"/>
        </w:rPr>
        <w:tab/>
      </w:r>
      <w:r>
        <w:rPr>
          <w:color w:val="auto"/>
          <w:szCs w:val="21"/>
          <w:highlight w:val="none"/>
        </w:rPr>
        <w:fldChar w:fldCharType="end"/>
      </w:r>
      <w:r>
        <w:rPr>
          <w:rFonts w:hint="eastAsia"/>
          <w:color w:val="auto"/>
          <w:szCs w:val="21"/>
          <w:highlight w:val="none"/>
        </w:rPr>
        <w:t>33</w:t>
      </w:r>
    </w:p>
    <w:p w14:paraId="007FC106">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"_Toc132880284" </w:instrText>
      </w:r>
      <w:r>
        <w:rPr>
          <w:color w:val="auto"/>
          <w:highlight w:val="none"/>
        </w:rPr>
        <w:fldChar w:fldCharType="separate"/>
      </w:r>
      <w:r>
        <w:rPr>
          <w:rStyle w:val="22"/>
          <w:rFonts w:hint="eastAsia"/>
          <w:color w:val="auto"/>
          <w:szCs w:val="21"/>
          <w:highlight w:val="none"/>
        </w:rPr>
        <w:t>第五章　投标文件格式</w:t>
      </w:r>
      <w:r>
        <w:rPr>
          <w:color w:val="auto"/>
          <w:szCs w:val="21"/>
          <w:highlight w:val="none"/>
        </w:rPr>
        <w:tab/>
      </w:r>
      <w:r>
        <w:rPr>
          <w:color w:val="auto"/>
          <w:szCs w:val="21"/>
          <w:highlight w:val="none"/>
        </w:rPr>
        <w:fldChar w:fldCharType="end"/>
      </w:r>
      <w:r>
        <w:rPr>
          <w:rFonts w:hint="eastAsia"/>
          <w:color w:val="auto"/>
          <w:szCs w:val="21"/>
          <w:highlight w:val="none"/>
        </w:rPr>
        <w:t>47</w:t>
      </w:r>
    </w:p>
    <w:p w14:paraId="7955A27C">
      <w:pPr>
        <w:pStyle w:val="15"/>
        <w:tabs>
          <w:tab w:val="right" w:leader="dot" w:pos="9060"/>
        </w:tabs>
        <w:rPr>
          <w:color w:val="auto"/>
          <w:szCs w:val="21"/>
          <w:highlight w:val="none"/>
        </w:rPr>
      </w:pPr>
      <w:r>
        <w:rPr>
          <w:color w:val="auto"/>
          <w:highlight w:val="none"/>
        </w:rPr>
        <w:fldChar w:fldCharType="begin"/>
      </w:r>
      <w:r>
        <w:rPr>
          <w:color w:val="auto"/>
          <w:highlight w:val="none"/>
        </w:rPr>
        <w:instrText xml:space="preserve"> HYPERLINK \l "_Toc132880285" </w:instrText>
      </w:r>
      <w:r>
        <w:rPr>
          <w:color w:val="auto"/>
          <w:highlight w:val="none"/>
        </w:rPr>
        <w:fldChar w:fldCharType="separate"/>
      </w:r>
      <w:r>
        <w:rPr>
          <w:rStyle w:val="22"/>
          <w:rFonts w:hint="eastAsia"/>
          <w:color w:val="auto"/>
          <w:szCs w:val="21"/>
          <w:highlight w:val="none"/>
        </w:rPr>
        <w:t>第六章</w:t>
      </w:r>
      <w:r>
        <w:rPr>
          <w:rStyle w:val="22"/>
          <w:color w:val="auto"/>
          <w:szCs w:val="21"/>
          <w:highlight w:val="none"/>
        </w:rPr>
        <w:t xml:space="preserve">  </w:t>
      </w:r>
      <w:r>
        <w:rPr>
          <w:rStyle w:val="22"/>
          <w:rFonts w:hint="eastAsia"/>
          <w:color w:val="auto"/>
          <w:szCs w:val="21"/>
          <w:highlight w:val="none"/>
        </w:rPr>
        <w:t>项目采购需求</w:t>
      </w:r>
      <w:r>
        <w:rPr>
          <w:color w:val="auto"/>
          <w:szCs w:val="21"/>
          <w:highlight w:val="none"/>
        </w:rPr>
        <w:tab/>
      </w:r>
      <w:r>
        <w:rPr>
          <w:color w:val="auto"/>
          <w:szCs w:val="21"/>
          <w:highlight w:val="none"/>
        </w:rPr>
        <w:fldChar w:fldCharType="end"/>
      </w:r>
      <w:r>
        <w:rPr>
          <w:rFonts w:hint="eastAsia"/>
          <w:color w:val="auto"/>
          <w:szCs w:val="21"/>
          <w:highlight w:val="none"/>
        </w:rPr>
        <w:t>76</w:t>
      </w:r>
    </w:p>
    <w:p w14:paraId="391A6770">
      <w:pPr>
        <w:rPr>
          <w:color w:val="auto"/>
          <w:highlight w:val="none"/>
        </w:rPr>
      </w:pPr>
      <w:r>
        <w:rPr>
          <w:color w:val="auto"/>
          <w:highlight w:val="none"/>
        </w:rPr>
        <w:fldChar w:fldCharType="end"/>
      </w:r>
    </w:p>
    <w:p w14:paraId="3F5F44EE">
      <w:pPr>
        <w:rPr>
          <w:b/>
          <w:color w:val="auto"/>
          <w:sz w:val="44"/>
          <w:szCs w:val="44"/>
          <w:highlight w:val="none"/>
        </w:rPr>
      </w:pPr>
    </w:p>
    <w:p w14:paraId="74B5D882">
      <w:pPr>
        <w:rPr>
          <w:color w:val="auto"/>
          <w:highlight w:val="none"/>
        </w:rPr>
      </w:pPr>
    </w:p>
    <w:p w14:paraId="127D34D4">
      <w:pPr>
        <w:rPr>
          <w:color w:val="auto"/>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cols w:space="720" w:num="1"/>
          <w:titlePg/>
          <w:docGrid w:type="lines" w:linePitch="312" w:charSpace="0"/>
        </w:sectPr>
      </w:pPr>
    </w:p>
    <w:p w14:paraId="5D582FD3">
      <w:pPr>
        <w:jc w:val="center"/>
        <w:rPr>
          <w:rFonts w:hint="eastAsia" w:ascii="华文中宋" w:hAnsi="华文中宋" w:eastAsia="华文中宋" w:cs="华文中宋"/>
          <w:color w:val="auto"/>
          <w:sz w:val="28"/>
          <w:szCs w:val="28"/>
          <w:highlight w:val="none"/>
        </w:rPr>
      </w:pPr>
      <w:bookmarkStart w:id="0" w:name="_Toc132880271"/>
      <w:r>
        <w:rPr>
          <w:rFonts w:hint="eastAsia" w:ascii="华文中宋" w:hAnsi="华文中宋" w:eastAsia="华文中宋" w:cs="华文中宋"/>
          <w:color w:val="auto"/>
          <w:sz w:val="28"/>
          <w:szCs w:val="28"/>
          <w:highlight w:val="none"/>
        </w:rPr>
        <w:t>第一章  投标邀请</w:t>
      </w:r>
      <w:bookmarkEnd w:id="0"/>
    </w:p>
    <w:p w14:paraId="67CF5A2D">
      <w:pPr>
        <w:pBdr>
          <w:top w:val="single" w:color="auto" w:sz="4" w:space="1"/>
          <w:left w:val="single" w:color="auto" w:sz="4" w:space="4"/>
          <w:bottom w:val="single" w:color="auto" w:sz="4" w:space="1"/>
          <w:right w:val="single" w:color="auto" w:sz="4" w:space="4"/>
        </w:pBdr>
        <w:spacing w:line="360" w:lineRule="auto"/>
        <w:rPr>
          <w:rFonts w:hint="eastAsia" w:ascii="宋体" w:hAnsi="宋体"/>
          <w:color w:val="auto"/>
          <w:szCs w:val="21"/>
          <w:highlight w:val="none"/>
        </w:rPr>
      </w:pPr>
      <w:r>
        <w:rPr>
          <w:rFonts w:hint="eastAsia" w:ascii="宋体" w:hAnsi="宋体"/>
          <w:color w:val="auto"/>
          <w:szCs w:val="21"/>
          <w:highlight w:val="none"/>
        </w:rPr>
        <w:t>项目概况</w:t>
      </w:r>
    </w:p>
    <w:p w14:paraId="2EC2870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国家税务总局福州市税务局12366纳税服务咨询外包采购项目</w:t>
      </w:r>
      <w:r>
        <w:rPr>
          <w:rFonts w:hint="eastAsia" w:ascii="宋体" w:hAnsi="宋体"/>
          <w:color w:val="auto"/>
          <w:szCs w:val="21"/>
          <w:highlight w:val="none"/>
        </w:rPr>
        <w:t xml:space="preserve"> 招标项目的潜在投标人应在</w:t>
      </w:r>
      <w:r>
        <w:rPr>
          <w:rFonts w:hint="eastAsia" w:ascii="宋体" w:hAnsi="宋体"/>
          <w:color w:val="auto"/>
          <w:szCs w:val="21"/>
          <w:highlight w:val="none"/>
          <w:u w:val="single"/>
        </w:rPr>
        <w:t>福建省福州市鼓楼区湖滨路66号中福西湖花园1号楼A区2层</w:t>
      </w:r>
      <w:r>
        <w:rPr>
          <w:rFonts w:hint="eastAsia" w:ascii="宋体" w:hAnsi="宋体"/>
          <w:color w:val="auto"/>
          <w:szCs w:val="21"/>
          <w:highlight w:val="none"/>
        </w:rPr>
        <w:t>获取招标文件，并于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14:paraId="51537148">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一、项目基本情况</w:t>
      </w:r>
    </w:p>
    <w:p w14:paraId="351C4A0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FJ2025-DLGK-C0019-B00</w:t>
      </w:r>
    </w:p>
    <w:p w14:paraId="213D0A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项目名称：国家税务总局福州市税务局12366纳税服务咨询外包采购项目</w:t>
      </w:r>
    </w:p>
    <w:p w14:paraId="6265E61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预算金额：1140万元</w:t>
      </w:r>
    </w:p>
    <w:p w14:paraId="4917F2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最高限价（如有）：1140万元</w:t>
      </w:r>
    </w:p>
    <w:p w14:paraId="2D1D2D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18"/>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14"/>
        <w:gridCol w:w="4056"/>
        <w:gridCol w:w="1418"/>
        <w:gridCol w:w="908"/>
      </w:tblGrid>
      <w:tr w14:paraId="2157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5" w:type="dxa"/>
            <w:tcBorders>
              <w:top w:val="single" w:color="auto" w:sz="4" w:space="0"/>
              <w:left w:val="single" w:color="auto" w:sz="4" w:space="0"/>
              <w:bottom w:val="single" w:color="auto" w:sz="4" w:space="0"/>
              <w:right w:val="single" w:color="auto" w:sz="4" w:space="0"/>
            </w:tcBorders>
            <w:vAlign w:val="center"/>
          </w:tcPr>
          <w:p w14:paraId="56C981E3">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合同包</w:t>
            </w:r>
          </w:p>
        </w:tc>
        <w:tc>
          <w:tcPr>
            <w:tcW w:w="1714" w:type="dxa"/>
            <w:tcBorders>
              <w:top w:val="single" w:color="auto" w:sz="4" w:space="0"/>
              <w:left w:val="single" w:color="auto" w:sz="4" w:space="0"/>
              <w:bottom w:val="single" w:color="auto" w:sz="4" w:space="0"/>
              <w:right w:val="single" w:color="auto" w:sz="4" w:space="0"/>
            </w:tcBorders>
            <w:vAlign w:val="center"/>
          </w:tcPr>
          <w:p w14:paraId="065B2456">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0E43050B">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4056" w:type="dxa"/>
            <w:tcBorders>
              <w:top w:val="single" w:color="auto" w:sz="4" w:space="0"/>
              <w:left w:val="single" w:color="auto" w:sz="4" w:space="0"/>
              <w:bottom w:val="single" w:color="auto" w:sz="4" w:space="0"/>
              <w:right w:val="single" w:color="auto" w:sz="4" w:space="0"/>
            </w:tcBorders>
            <w:vAlign w:val="center"/>
          </w:tcPr>
          <w:p w14:paraId="021D4369">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采购内容及要求</w:t>
            </w:r>
          </w:p>
        </w:tc>
        <w:tc>
          <w:tcPr>
            <w:tcW w:w="1418" w:type="dxa"/>
            <w:tcBorders>
              <w:top w:val="single" w:color="auto" w:sz="4" w:space="0"/>
              <w:left w:val="single" w:color="auto" w:sz="4" w:space="0"/>
              <w:bottom w:val="single" w:color="auto" w:sz="4" w:space="0"/>
              <w:right w:val="single" w:color="auto" w:sz="4" w:space="0"/>
            </w:tcBorders>
            <w:vAlign w:val="center"/>
          </w:tcPr>
          <w:p w14:paraId="240F4CE8">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最高限价（万元）</w:t>
            </w:r>
          </w:p>
        </w:tc>
        <w:tc>
          <w:tcPr>
            <w:tcW w:w="875" w:type="dxa"/>
            <w:tcBorders>
              <w:top w:val="single" w:color="auto" w:sz="4" w:space="0"/>
              <w:left w:val="single" w:color="auto" w:sz="4" w:space="0"/>
              <w:bottom w:val="single" w:color="auto" w:sz="4" w:space="0"/>
              <w:right w:val="single" w:color="auto" w:sz="4" w:space="0"/>
            </w:tcBorders>
            <w:vAlign w:val="center"/>
          </w:tcPr>
          <w:p w14:paraId="4B6F109A">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bCs/>
                <w:color w:val="auto"/>
                <w:szCs w:val="21"/>
                <w:highlight w:val="none"/>
              </w:rPr>
              <w:t>期限（年）</w:t>
            </w:r>
          </w:p>
        </w:tc>
      </w:tr>
      <w:tr w14:paraId="36A5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65" w:type="dxa"/>
            <w:tcBorders>
              <w:top w:val="single" w:color="auto" w:sz="4" w:space="0"/>
              <w:left w:val="single" w:color="auto" w:sz="4" w:space="0"/>
              <w:bottom w:val="single" w:color="auto" w:sz="4" w:space="0"/>
              <w:right w:val="single" w:color="auto" w:sz="4" w:space="0"/>
            </w:tcBorders>
            <w:vAlign w:val="center"/>
          </w:tcPr>
          <w:p w14:paraId="070D1764">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14" w:type="dxa"/>
            <w:tcBorders>
              <w:top w:val="single" w:color="auto" w:sz="4" w:space="0"/>
              <w:left w:val="single" w:color="auto" w:sz="4" w:space="0"/>
              <w:bottom w:val="single" w:color="auto" w:sz="4" w:space="0"/>
              <w:right w:val="single" w:color="auto" w:sz="4" w:space="0"/>
            </w:tcBorders>
            <w:vAlign w:val="center"/>
          </w:tcPr>
          <w:p w14:paraId="737EFEF6">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国家税务总局福州市税务局12366纳税服务咨询外包采购项目</w:t>
            </w:r>
          </w:p>
        </w:tc>
        <w:tc>
          <w:tcPr>
            <w:tcW w:w="4056" w:type="dxa"/>
            <w:tcBorders>
              <w:top w:val="single" w:color="auto" w:sz="4" w:space="0"/>
              <w:left w:val="single" w:color="auto" w:sz="4" w:space="0"/>
              <w:bottom w:val="single" w:color="auto" w:sz="4" w:space="0"/>
              <w:right w:val="single" w:color="auto" w:sz="4" w:space="0"/>
            </w:tcBorders>
            <w:vAlign w:val="center"/>
          </w:tcPr>
          <w:p w14:paraId="32238840">
            <w:pPr>
              <w:tabs>
                <w:tab w:val="left" w:pos="6930"/>
              </w:tabs>
              <w:spacing w:line="500" w:lineRule="exact"/>
              <w:ind w:right="62"/>
              <w:rPr>
                <w:rFonts w:hint="eastAsia" w:ascii="宋体" w:hAnsi="宋体" w:cs="宋体"/>
                <w:color w:val="auto"/>
                <w:szCs w:val="21"/>
                <w:highlight w:val="none"/>
              </w:rPr>
            </w:pPr>
            <w:r>
              <w:rPr>
                <w:rFonts w:hint="eastAsia" w:ascii="宋体" w:hAnsi="宋体" w:cs="宋体"/>
                <w:color w:val="auto"/>
                <w:szCs w:val="21"/>
                <w:highlight w:val="none"/>
              </w:rPr>
              <w:t>本项目拟采购国家税务总局福州市税务局12366纳税服务咨询外包服务（含50个坐席岗位），为纳税人缴费人提供优质高效的专业化咨询服务。中标人负责对人员进行人事和业务流程的全面管理，保证服务外包人员上线率，做好对福州12366服务外包的管理工作。</w:t>
            </w:r>
          </w:p>
        </w:tc>
        <w:tc>
          <w:tcPr>
            <w:tcW w:w="1418" w:type="dxa"/>
            <w:tcBorders>
              <w:top w:val="single" w:color="auto" w:sz="4" w:space="0"/>
              <w:left w:val="single" w:color="auto" w:sz="4" w:space="0"/>
              <w:bottom w:val="single" w:color="auto" w:sz="4" w:space="0"/>
              <w:right w:val="single" w:color="auto" w:sz="4" w:space="0"/>
            </w:tcBorders>
            <w:vAlign w:val="center"/>
          </w:tcPr>
          <w:p w14:paraId="35D4DF7B">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1140万元（人民币）</w:t>
            </w:r>
          </w:p>
        </w:tc>
        <w:tc>
          <w:tcPr>
            <w:tcW w:w="875" w:type="dxa"/>
            <w:tcBorders>
              <w:top w:val="single" w:color="auto" w:sz="4" w:space="0"/>
              <w:left w:val="single" w:color="auto" w:sz="4" w:space="0"/>
              <w:bottom w:val="single" w:color="auto" w:sz="4" w:space="0"/>
              <w:right w:val="single" w:color="auto" w:sz="4" w:space="0"/>
            </w:tcBorders>
            <w:vAlign w:val="center"/>
          </w:tcPr>
          <w:p w14:paraId="0DF62A9B">
            <w:pPr>
              <w:tabs>
                <w:tab w:val="left" w:pos="6930"/>
              </w:tabs>
              <w:spacing w:line="500" w:lineRule="exact"/>
              <w:ind w:right="62"/>
              <w:jc w:val="center"/>
              <w:rPr>
                <w:rFonts w:hint="eastAsia" w:ascii="宋体" w:hAnsi="宋体" w:cs="宋体"/>
                <w:color w:val="auto"/>
                <w:szCs w:val="21"/>
                <w:highlight w:val="none"/>
              </w:rPr>
            </w:pPr>
            <w:r>
              <w:rPr>
                <w:rFonts w:hint="eastAsia" w:ascii="宋体" w:hAnsi="宋体" w:cs="宋体"/>
                <w:color w:val="auto"/>
                <w:szCs w:val="21"/>
                <w:highlight w:val="none"/>
              </w:rPr>
              <w:t>2年</w:t>
            </w:r>
          </w:p>
        </w:tc>
      </w:tr>
    </w:tbl>
    <w:p w14:paraId="7E17F88A">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 2年</w:t>
      </w:r>
    </w:p>
    <w:p w14:paraId="265D37C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本项目（不接受）接受联合体投标。</w:t>
      </w:r>
    </w:p>
    <w:p w14:paraId="0F4CB4B5">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二、申请人的资格要求</w:t>
      </w:r>
    </w:p>
    <w:p w14:paraId="3CE3B18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1.满足《中华人民共和国政府采购法》第二十二条规定，并提供下列证明材料：</w:t>
      </w:r>
    </w:p>
    <w:p w14:paraId="043DA10E">
      <w:pPr>
        <w:spacing w:line="360" w:lineRule="exact"/>
        <w:ind w:firstLine="456" w:firstLineChars="200"/>
        <w:rPr>
          <w:rFonts w:hint="eastAsia" w:ascii="宋体" w:hAnsi="宋体" w:cs="宋体"/>
          <w:color w:val="auto"/>
          <w:szCs w:val="21"/>
          <w:highlight w:val="none"/>
        </w:rPr>
      </w:pPr>
      <w:r>
        <w:rPr>
          <w:rFonts w:hint="eastAsia" w:ascii="宋体" w:hAnsi="宋体" w:cs="宋体"/>
          <w:color w:val="auto"/>
          <w:spacing w:val="9"/>
          <w:szCs w:val="21"/>
          <w:highlight w:val="none"/>
        </w:rPr>
        <w:t>（1）</w:t>
      </w:r>
      <w:r>
        <w:rPr>
          <w:rFonts w:ascii="宋体" w:hAnsi="宋体" w:cs="宋体"/>
          <w:color w:val="auto"/>
          <w:spacing w:val="9"/>
          <w:szCs w:val="21"/>
          <w:highlight w:val="none"/>
        </w:rPr>
        <w:t>投标人符合国家有关法律规定，在中国境内（指关境内）注册的法人或者其他组织的营业执照等证</w:t>
      </w:r>
      <w:r>
        <w:rPr>
          <w:rFonts w:ascii="宋体" w:hAnsi="宋体" w:cs="宋体"/>
          <w:color w:val="auto"/>
          <w:szCs w:val="21"/>
          <w:highlight w:val="none"/>
        </w:rPr>
        <w:t>明文件；</w:t>
      </w:r>
    </w:p>
    <w:p w14:paraId="5C4834C7">
      <w:pPr>
        <w:spacing w:line="360" w:lineRule="exact"/>
        <w:ind w:firstLine="452" w:firstLineChars="200"/>
        <w:rPr>
          <w:rFonts w:hint="eastAsia" w:ascii="宋体" w:hAnsi="宋体" w:cs="宋体"/>
          <w:color w:val="auto"/>
          <w:spacing w:val="3"/>
          <w:szCs w:val="21"/>
          <w:highlight w:val="none"/>
        </w:rPr>
      </w:pPr>
      <w:r>
        <w:rPr>
          <w:rFonts w:hint="eastAsia" w:ascii="宋体" w:hAnsi="宋体" w:cs="宋体"/>
          <w:color w:val="auto"/>
          <w:spacing w:val="8"/>
          <w:szCs w:val="21"/>
          <w:highlight w:val="none"/>
        </w:rPr>
        <w:t>（2）</w:t>
      </w:r>
      <w:r>
        <w:rPr>
          <w:rFonts w:ascii="宋体" w:hAnsi="宋体" w:cs="宋体"/>
          <w:color w:val="auto"/>
          <w:spacing w:val="8"/>
          <w:szCs w:val="21"/>
          <w:highlight w:val="none"/>
        </w:rPr>
        <w:t>投标人的财务状况报告:提供经会计师事务所审计的</w:t>
      </w:r>
      <w:r>
        <w:rPr>
          <w:rFonts w:ascii="宋体" w:hAnsi="宋体" w:cs="宋体"/>
          <w:color w:val="auto"/>
          <w:spacing w:val="-22"/>
          <w:szCs w:val="21"/>
          <w:highlight w:val="none"/>
        </w:rPr>
        <w:t xml:space="preserve"> </w:t>
      </w:r>
      <w:r>
        <w:rPr>
          <w:rFonts w:ascii="宋体" w:hAnsi="宋体" w:cs="宋体"/>
          <w:color w:val="auto"/>
          <w:spacing w:val="8"/>
          <w:szCs w:val="21"/>
          <w:highlight w:val="none"/>
        </w:rPr>
        <w:t xml:space="preserve">2023 </w:t>
      </w:r>
      <w:r>
        <w:rPr>
          <w:rFonts w:hint="eastAsia" w:ascii="宋体" w:hAnsi="宋体" w:cs="宋体"/>
          <w:color w:val="auto"/>
          <w:spacing w:val="8"/>
          <w:szCs w:val="21"/>
          <w:highlight w:val="none"/>
        </w:rPr>
        <w:t>或2024</w:t>
      </w:r>
      <w:r>
        <w:rPr>
          <w:rFonts w:ascii="宋体" w:hAnsi="宋体" w:cs="宋体"/>
          <w:color w:val="auto"/>
          <w:spacing w:val="8"/>
          <w:szCs w:val="21"/>
          <w:highlight w:val="none"/>
        </w:rPr>
        <w:t>年度的财务报告（包括资产负债表、利润</w:t>
      </w:r>
      <w:r>
        <w:rPr>
          <w:rFonts w:ascii="宋体" w:hAnsi="宋体" w:cs="宋体"/>
          <w:color w:val="auto"/>
          <w:spacing w:val="9"/>
          <w:szCs w:val="21"/>
          <w:highlight w:val="none"/>
        </w:rPr>
        <w:t>表、现金流量表、所有者权益变动表（若有）及其附注（若有）、会计师事务所营业执照和注册会计师资格证书）或</w:t>
      </w:r>
      <w:r>
        <w:rPr>
          <w:rFonts w:hint="eastAsia" w:ascii="宋体" w:hAnsi="宋体" w:cs="宋体"/>
          <w:color w:val="auto"/>
          <w:spacing w:val="9"/>
          <w:szCs w:val="21"/>
          <w:highlight w:val="none"/>
        </w:rPr>
        <w:t>其开户银行出具的资信证明（资信证明注明“复印无效”的，须提供原件）</w:t>
      </w:r>
      <w:r>
        <w:rPr>
          <w:rFonts w:ascii="宋体" w:hAnsi="宋体" w:cs="宋体"/>
          <w:color w:val="auto"/>
          <w:spacing w:val="3"/>
          <w:szCs w:val="21"/>
          <w:highlight w:val="none"/>
        </w:rPr>
        <w:t>）；</w:t>
      </w:r>
    </w:p>
    <w:p w14:paraId="1F2D92DC">
      <w:pPr>
        <w:spacing w:before="32" w:line="360" w:lineRule="exact"/>
        <w:ind w:left="118" w:right="115" w:firstLine="420"/>
        <w:rPr>
          <w:rFonts w:hint="eastAsia" w:ascii="宋体" w:hAnsi="宋体" w:cs="宋体"/>
          <w:color w:val="auto"/>
          <w:spacing w:val="8"/>
          <w:szCs w:val="21"/>
          <w:highlight w:val="none"/>
        </w:rPr>
      </w:pPr>
      <w:r>
        <w:rPr>
          <w:rFonts w:hint="eastAsia" w:ascii="宋体" w:hAnsi="宋体" w:cs="宋体"/>
          <w:color w:val="auto"/>
          <w:spacing w:val="8"/>
          <w:szCs w:val="21"/>
          <w:highlight w:val="none"/>
        </w:rPr>
        <w:t>（3）</w:t>
      </w:r>
      <w:r>
        <w:rPr>
          <w:rFonts w:ascii="宋体" w:hAnsi="宋体" w:cs="宋体"/>
          <w:color w:val="auto"/>
          <w:spacing w:val="8"/>
          <w:szCs w:val="21"/>
          <w:highlight w:val="none"/>
        </w:rPr>
        <w:t>投标人依法缴纳税收：投标截止时间前已依法缴纳税收的投标人，提供投标截止时间前六个月中任一月份的税收缴纳凭据复印件（若为投标截止当月成立的投标人，无法提供依法缴纳税收的相关材料的，视为满足该条件）；</w:t>
      </w:r>
    </w:p>
    <w:p w14:paraId="231919DA">
      <w:pPr>
        <w:spacing w:before="32" w:line="360" w:lineRule="exact"/>
        <w:ind w:left="118" w:right="115" w:firstLine="420"/>
        <w:rPr>
          <w:rFonts w:hint="eastAsia" w:ascii="宋体" w:hAnsi="宋体" w:cs="宋体"/>
          <w:color w:val="auto"/>
          <w:szCs w:val="21"/>
          <w:highlight w:val="none"/>
        </w:rPr>
      </w:pPr>
      <w:r>
        <w:rPr>
          <w:rFonts w:hint="eastAsia" w:ascii="宋体" w:hAnsi="宋体" w:cs="宋体"/>
          <w:color w:val="auto"/>
          <w:spacing w:val="9"/>
          <w:szCs w:val="21"/>
          <w:highlight w:val="none"/>
        </w:rPr>
        <w:t>（4）</w:t>
      </w:r>
      <w:r>
        <w:rPr>
          <w:rFonts w:ascii="宋体" w:hAnsi="宋体" w:cs="宋体"/>
          <w:color w:val="auto"/>
          <w:spacing w:val="9"/>
          <w:szCs w:val="21"/>
          <w:highlight w:val="none"/>
        </w:rPr>
        <w:t>投标人依法缴纳社会保障资金：投标截止时间前已依法缴纳社会保障资金的投标人，提供投标截止时间前六个月中任一月份的社会保障资金缴纳凭据复印件（若为投标截止当月成立的投标人，无法提供缴纳社会保障资金的相关材料的，视为满足该条</w:t>
      </w:r>
      <w:r>
        <w:rPr>
          <w:rFonts w:ascii="宋体" w:hAnsi="宋体" w:cs="宋体"/>
          <w:color w:val="auto"/>
          <w:spacing w:val="1"/>
          <w:szCs w:val="21"/>
          <w:highlight w:val="none"/>
        </w:rPr>
        <w:t>件</w:t>
      </w:r>
      <w:r>
        <w:rPr>
          <w:rFonts w:ascii="宋体" w:hAnsi="宋体" w:cs="宋体"/>
          <w:color w:val="auto"/>
          <w:szCs w:val="21"/>
          <w:highlight w:val="none"/>
        </w:rPr>
        <w:t>）；</w:t>
      </w:r>
    </w:p>
    <w:p w14:paraId="3428820E">
      <w:pPr>
        <w:spacing w:before="32" w:line="360" w:lineRule="exact"/>
        <w:ind w:left="118" w:right="115" w:firstLine="420"/>
        <w:rPr>
          <w:rFonts w:hint="eastAsia" w:ascii="宋体" w:hAnsi="宋体" w:cs="宋体"/>
          <w:color w:val="auto"/>
          <w:szCs w:val="21"/>
          <w:highlight w:val="none"/>
        </w:rPr>
      </w:pPr>
      <w:r>
        <w:rPr>
          <w:rFonts w:hint="eastAsia" w:ascii="宋体" w:hAnsi="宋体" w:cs="宋体"/>
          <w:color w:val="auto"/>
          <w:szCs w:val="21"/>
          <w:highlight w:val="none"/>
        </w:rPr>
        <w:t>（5）提供无行贿犯罪记录承诺（说明）函（投标人自行对其有无行贿犯罪情形进行说明或承诺，格式自拟）；</w:t>
      </w:r>
    </w:p>
    <w:p w14:paraId="5F3CA91F">
      <w:pPr>
        <w:spacing w:before="32" w:line="360" w:lineRule="exact"/>
        <w:ind w:left="118" w:right="115" w:firstLine="420"/>
        <w:rPr>
          <w:rFonts w:hint="eastAsia" w:ascii="宋体" w:hAnsi="宋体" w:cs="宋体"/>
          <w:color w:val="auto"/>
          <w:spacing w:val="9"/>
          <w:szCs w:val="21"/>
          <w:highlight w:val="none"/>
        </w:rPr>
      </w:pPr>
      <w:r>
        <w:rPr>
          <w:rFonts w:hint="eastAsia" w:ascii="宋体" w:hAnsi="宋体" w:cs="宋体"/>
          <w:color w:val="auto"/>
          <w:spacing w:val="9"/>
          <w:szCs w:val="21"/>
          <w:highlight w:val="none"/>
        </w:rPr>
        <w:t>（6）</w:t>
      </w:r>
      <w:r>
        <w:rPr>
          <w:rFonts w:ascii="宋体" w:hAnsi="宋体" w:cs="宋体"/>
          <w:color w:val="auto"/>
          <w:spacing w:val="9"/>
          <w:szCs w:val="21"/>
          <w:highlight w:val="none"/>
        </w:rPr>
        <w:t>具备履行合同所必需的设备和专业技术能力的书面声明；</w:t>
      </w:r>
    </w:p>
    <w:p w14:paraId="1D8D5A44">
      <w:pPr>
        <w:spacing w:before="32" w:line="360" w:lineRule="exact"/>
        <w:ind w:left="118" w:right="115" w:firstLine="420"/>
        <w:rPr>
          <w:rFonts w:hint="eastAsia" w:ascii="宋体" w:hAnsi="宋体" w:cs="宋体"/>
          <w:color w:val="auto"/>
          <w:sz w:val="20"/>
          <w:szCs w:val="20"/>
          <w:highlight w:val="none"/>
        </w:rPr>
      </w:pPr>
      <w:r>
        <w:rPr>
          <w:rFonts w:hint="eastAsia" w:ascii="宋体" w:hAnsi="宋体" w:cs="宋体"/>
          <w:color w:val="auto"/>
          <w:spacing w:val="9"/>
          <w:szCs w:val="21"/>
          <w:highlight w:val="none"/>
        </w:rPr>
        <w:t>（7）</w:t>
      </w:r>
      <w:r>
        <w:rPr>
          <w:rFonts w:ascii="宋体" w:hAnsi="宋体" w:cs="宋体"/>
          <w:color w:val="auto"/>
          <w:spacing w:val="9"/>
          <w:szCs w:val="21"/>
          <w:highlight w:val="none"/>
        </w:rPr>
        <w:t>参加政府采购活动前</w:t>
      </w:r>
      <w:r>
        <w:rPr>
          <w:rFonts w:ascii="宋体" w:hAnsi="宋体" w:cs="宋体"/>
          <w:color w:val="auto"/>
          <w:spacing w:val="-35"/>
          <w:szCs w:val="21"/>
          <w:highlight w:val="none"/>
        </w:rPr>
        <w:t xml:space="preserve"> </w:t>
      </w:r>
      <w:r>
        <w:rPr>
          <w:rFonts w:ascii="宋体" w:hAnsi="宋体" w:cs="宋体"/>
          <w:color w:val="auto"/>
          <w:spacing w:val="9"/>
          <w:szCs w:val="21"/>
          <w:highlight w:val="none"/>
        </w:rPr>
        <w:t>3</w:t>
      </w:r>
      <w:r>
        <w:rPr>
          <w:rFonts w:ascii="宋体" w:hAnsi="宋体" w:cs="宋体"/>
          <w:color w:val="auto"/>
          <w:spacing w:val="-38"/>
          <w:szCs w:val="21"/>
          <w:highlight w:val="none"/>
        </w:rPr>
        <w:t xml:space="preserve"> </w:t>
      </w:r>
      <w:r>
        <w:rPr>
          <w:rFonts w:ascii="宋体" w:hAnsi="宋体" w:cs="宋体"/>
          <w:color w:val="auto"/>
          <w:spacing w:val="9"/>
          <w:szCs w:val="21"/>
          <w:highlight w:val="none"/>
        </w:rPr>
        <w:t>年内在经营活动中</w:t>
      </w:r>
      <w:r>
        <w:rPr>
          <w:rFonts w:ascii="宋体" w:hAnsi="宋体" w:cs="宋体"/>
          <w:color w:val="auto"/>
          <w:spacing w:val="8"/>
          <w:szCs w:val="21"/>
          <w:highlight w:val="none"/>
        </w:rPr>
        <w:t>没有重大违法记录的书面声明。</w:t>
      </w:r>
    </w:p>
    <w:p w14:paraId="1877412C">
      <w:pPr>
        <w:pStyle w:val="24"/>
        <w:spacing w:line="360" w:lineRule="exact"/>
        <w:ind w:firstLine="430" w:firstLineChars="200"/>
        <w:rPr>
          <w:color w:val="auto"/>
          <w:highlight w:val="none"/>
        </w:rPr>
      </w:pPr>
      <w:r>
        <w:rPr>
          <w:rFonts w:ascii="宋体" w:hAnsi="宋体" w:cs="宋体"/>
          <w:b/>
          <w:bCs/>
          <w:color w:val="auto"/>
          <w:spacing w:val="7"/>
          <w:sz w:val="20"/>
          <w:highlight w:val="none"/>
        </w:rPr>
        <w:t>注：若为依法免税或不需要缴纳社会保障资金的投标人，应提供相应文件证明其依法免税或不需要缴</w:t>
      </w:r>
      <w:r>
        <w:rPr>
          <w:rFonts w:ascii="宋体" w:hAnsi="宋体" w:cs="宋体"/>
          <w:b/>
          <w:bCs/>
          <w:color w:val="auto"/>
          <w:spacing w:val="5"/>
          <w:sz w:val="20"/>
          <w:highlight w:val="none"/>
        </w:rPr>
        <w:t>纳社会保障资金。</w:t>
      </w:r>
    </w:p>
    <w:p w14:paraId="177187FD">
      <w:pPr>
        <w:spacing w:line="360" w:lineRule="auto"/>
        <w:ind w:firstLine="420" w:firstLineChars="200"/>
        <w:rPr>
          <w:rFonts w:hint="eastAsia" w:ascii="宋体" w:hAnsi="宋体" w:cs="宋体"/>
          <w:color w:val="auto"/>
          <w:sz w:val="24"/>
          <w:szCs w:val="24"/>
          <w:highlight w:val="none"/>
        </w:rPr>
      </w:pPr>
      <w:r>
        <w:rPr>
          <w:rFonts w:hint="eastAsia" w:ascii="宋体" w:hAnsi="宋体"/>
          <w:color w:val="auto"/>
          <w:szCs w:val="21"/>
          <w:highlight w:val="none"/>
        </w:rPr>
        <w:t>2.落实政府采购政策需满足的资格要求：无。</w:t>
      </w:r>
    </w:p>
    <w:p w14:paraId="7C23C377">
      <w:pPr>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3.被列入失信被执行人、重大税收违法案件当事人名单、政府采购严重违法失信行为记录名单及其 他不符合《中华人民共和国政府采购法》第二十二条规定条件的投标人，不得参加本次投标。（1）投标人针对“信用记录查询结果 ”可自主提供证明材料，未提供该证明材料的不视为无效投标。（2）查询结果的审查：①信用记录查询的截止时点：信用记录查询的截止时点为本项目投标截止当日。②信用记录查询渠道：信用中国（www.creditchina.gov.cn）和中国政府采购网（www.ccgp.gov.cn） 。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⑤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 信息。</w:t>
      </w:r>
    </w:p>
    <w:p w14:paraId="15B338A3">
      <w:pPr>
        <w:spacing w:line="360" w:lineRule="auto"/>
        <w:ind w:left="420" w:leftChars="200"/>
        <w:rPr>
          <w:rFonts w:hint="eastAsia" w:ascii="宋体" w:hAnsi="宋体"/>
          <w:color w:val="auto"/>
          <w:szCs w:val="21"/>
          <w:highlight w:val="none"/>
          <w:u w:val="single"/>
        </w:rPr>
      </w:pPr>
      <w:r>
        <w:rPr>
          <w:rFonts w:hint="eastAsia" w:ascii="宋体" w:hAnsi="宋体"/>
          <w:color w:val="auto"/>
          <w:szCs w:val="21"/>
          <w:highlight w:val="none"/>
        </w:rPr>
        <w:t>4.本项目的特定资格要求：</w:t>
      </w:r>
      <w:r>
        <w:rPr>
          <w:rFonts w:hint="eastAsia" w:ascii="宋体" w:hAnsi="宋体"/>
          <w:color w:val="auto"/>
          <w:szCs w:val="21"/>
          <w:highlight w:val="none"/>
          <w:u w:val="single"/>
        </w:rPr>
        <w:t>无</w:t>
      </w:r>
    </w:p>
    <w:p w14:paraId="1C666EB8">
      <w:pPr>
        <w:spacing w:line="360" w:lineRule="auto"/>
        <w:ind w:left="420" w:leftChars="200"/>
        <w:rPr>
          <w:rFonts w:hint="eastAsia" w:ascii="宋体" w:hAnsi="宋体"/>
          <w:color w:val="auto"/>
          <w:szCs w:val="21"/>
          <w:highlight w:val="none"/>
          <w:u w:val="single"/>
        </w:rPr>
      </w:pPr>
      <w:r>
        <w:rPr>
          <w:rFonts w:hint="eastAsia" w:ascii="宋体" w:hAnsi="宋体"/>
          <w:color w:val="auto"/>
          <w:szCs w:val="21"/>
          <w:highlight w:val="none"/>
        </w:rPr>
        <w:t>5.本项目（不接受）联合体投标。</w:t>
      </w:r>
    </w:p>
    <w:p w14:paraId="21C016B9">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三、获取招标文件</w:t>
      </w:r>
    </w:p>
    <w:p w14:paraId="1A1A8408">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09：00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15:00</w:t>
      </w:r>
      <w:r>
        <w:rPr>
          <w:rFonts w:hint="eastAsia" w:ascii="宋体" w:hAnsi="宋体" w:cs="宋体"/>
          <w:color w:val="auto"/>
          <w:szCs w:val="21"/>
          <w:highlight w:val="none"/>
        </w:rPr>
        <w:t>至</w:t>
      </w:r>
      <w:r>
        <w:rPr>
          <w:rFonts w:hint="eastAsia" w:ascii="宋体" w:hAnsi="宋体" w:cs="宋体"/>
          <w:color w:val="auto"/>
          <w:szCs w:val="21"/>
          <w:highlight w:val="none"/>
          <w:u w:val="single"/>
        </w:rPr>
        <w:t>17:00</w:t>
      </w:r>
      <w:r>
        <w:rPr>
          <w:rFonts w:hint="eastAsia" w:ascii="宋体" w:hAnsi="宋体" w:cs="宋体"/>
          <w:color w:val="auto"/>
          <w:szCs w:val="21"/>
          <w:highlight w:val="none"/>
        </w:rPr>
        <w:t>（北京时间，</w:t>
      </w:r>
      <w:r>
        <w:rPr>
          <w:rFonts w:ascii="宋体" w:hAnsi="宋体" w:cs="宋体"/>
          <w:color w:val="auto"/>
          <w:szCs w:val="21"/>
          <w:highlight w:val="none"/>
        </w:rPr>
        <w:t>法定节假日</w:t>
      </w:r>
      <w:r>
        <w:rPr>
          <w:rFonts w:hint="eastAsia" w:ascii="宋体" w:hAnsi="宋体" w:cs="宋体"/>
          <w:color w:val="auto"/>
          <w:szCs w:val="21"/>
          <w:highlight w:val="none"/>
        </w:rPr>
        <w:t>除外）</w:t>
      </w:r>
    </w:p>
    <w:p w14:paraId="75E68F7A">
      <w:pPr>
        <w:spacing w:line="360" w:lineRule="auto"/>
        <w:ind w:firstLine="540"/>
        <w:rPr>
          <w:rFonts w:hint="eastAsia"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szCs w:val="21"/>
          <w:highlight w:val="none"/>
        </w:rPr>
        <w:t>福建省福州市鼓楼区湖滨路66号中福西湖花园1号楼A区2层</w:t>
      </w:r>
    </w:p>
    <w:p w14:paraId="1CBCF10B">
      <w:pPr>
        <w:spacing w:line="360" w:lineRule="auto"/>
        <w:ind w:firstLine="540"/>
        <w:rPr>
          <w:rFonts w:hint="eastAsia" w:ascii="宋体" w:hAnsi="宋体" w:cs="宋体"/>
          <w:color w:val="auto"/>
          <w:szCs w:val="21"/>
          <w:highlight w:val="none"/>
          <w:u w:val="single"/>
        </w:rPr>
      </w:pPr>
      <w:r>
        <w:rPr>
          <w:rFonts w:hint="eastAsia" w:ascii="宋体" w:hAnsi="宋体" w:cs="宋体"/>
          <w:color w:val="auto"/>
          <w:szCs w:val="21"/>
          <w:highlight w:val="none"/>
        </w:rPr>
        <w:t>方式：①潜在投标人应在规定的获取招标文件时间内至福建省福瑞工程管理有限公司（地址：福建省福州市鼓楼区湖滨路66号中福西湖花园1号楼A区2层）现场填写《获取文件登记表》； ②潜在投标人应从本项目指定的信息发布媒体上下载《获取文件登记表》，并将填写完整的《获取文件登记表》在获取招标文件时间内发送至福建省福瑞工程管理有限公司邮箱（fjfrzb@163.com）。 注：投标人应选择上述两种方式中的一种获取招标文件，未在规定时间内获取招标文件的视同自动放弃参与投标。潜在投标人在《获取文件登记表》中填写的公司名称应与投标时的投标人名称一致（若投标人名称有变更的，应在投标文件中提交工商部门出具的更名证明），否则视为无效投标。</w:t>
      </w:r>
    </w:p>
    <w:p w14:paraId="49834C56">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售价：0元</w:t>
      </w:r>
    </w:p>
    <w:p w14:paraId="0983C1DA">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四、提交投标文件截止时间、开标时间和地点</w:t>
      </w:r>
    </w:p>
    <w:p w14:paraId="2AAF84D2">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投标文件截止时间（开标时间）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1712D45D">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s="宋体"/>
          <w:color w:val="auto"/>
          <w:szCs w:val="21"/>
          <w:highlight w:val="none"/>
        </w:rPr>
        <w:t>福建省福州市鼓楼区湖滨路66号中福西湖花园1号楼A区2层</w:t>
      </w:r>
    </w:p>
    <w:p w14:paraId="586D0BB8">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五、公告期限</w:t>
      </w:r>
    </w:p>
    <w:p w14:paraId="2158FB2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7D8CD70">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六、其他补充事宜</w:t>
      </w:r>
    </w:p>
    <w:p w14:paraId="57F9CB3D">
      <w:pPr>
        <w:spacing w:line="360" w:lineRule="auto"/>
        <w:ind w:left="495"/>
        <w:rPr>
          <w:rFonts w:hint="eastAsia" w:ascii="宋体" w:hAnsi="宋体"/>
          <w:color w:val="auto"/>
          <w:szCs w:val="21"/>
          <w:highlight w:val="none"/>
        </w:rPr>
      </w:pPr>
      <w:r>
        <w:rPr>
          <w:rFonts w:hint="eastAsia" w:ascii="宋体" w:hAnsi="宋体"/>
          <w:color w:val="auto"/>
          <w:szCs w:val="21"/>
          <w:highlight w:val="none"/>
        </w:rPr>
        <w:t>无</w:t>
      </w:r>
    </w:p>
    <w:p w14:paraId="2EA9D8A6">
      <w:pPr>
        <w:spacing w:before="156" w:beforeLines="50" w:after="156" w:afterLines="50"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七、对本次招标提出询问，请按</w:t>
      </w:r>
      <w:r>
        <w:rPr>
          <w:rFonts w:ascii="黑体" w:hAnsi="黑体" w:eastAsia="黑体"/>
          <w:color w:val="auto"/>
          <w:szCs w:val="21"/>
          <w:highlight w:val="none"/>
        </w:rPr>
        <w:t>以下方式</w:t>
      </w:r>
      <w:r>
        <w:rPr>
          <w:rFonts w:hint="eastAsia" w:ascii="黑体" w:hAnsi="黑体" w:eastAsia="黑体"/>
          <w:color w:val="auto"/>
          <w:szCs w:val="21"/>
          <w:highlight w:val="none"/>
        </w:rPr>
        <w:t>联系。</w:t>
      </w:r>
    </w:p>
    <w:p w14:paraId="5C71C5F1">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1.采购人信息</w:t>
      </w:r>
    </w:p>
    <w:p w14:paraId="1725B21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国家税务总局福州市税务局</w:t>
      </w:r>
    </w:p>
    <w:p w14:paraId="64478DDC">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福建省福州市八一七中路49号</w:t>
      </w:r>
    </w:p>
    <w:p w14:paraId="517C9845">
      <w:pPr>
        <w:widowControl/>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联系</w:t>
      </w:r>
      <w:r>
        <w:rPr>
          <w:rFonts w:hint="eastAsia" w:ascii="宋体" w:hAnsi="宋体" w:cs="宋体"/>
          <w:color w:val="auto"/>
          <w:szCs w:val="21"/>
          <w:highlight w:val="none"/>
        </w:rPr>
        <w:t>方式</w:t>
      </w:r>
      <w:r>
        <w:rPr>
          <w:rFonts w:hint="eastAsia" w:ascii="宋体" w:hAnsi="宋体"/>
          <w:color w:val="auto"/>
          <w:szCs w:val="21"/>
          <w:highlight w:val="none"/>
        </w:rPr>
        <w:t>：</w:t>
      </w:r>
      <w:r>
        <w:rPr>
          <w:rFonts w:hint="eastAsia" w:ascii="宋体" w:hAnsi="宋体"/>
          <w:color w:val="auto"/>
          <w:szCs w:val="21"/>
          <w:highlight w:val="none"/>
          <w:u w:val="single"/>
        </w:rPr>
        <w:t xml:space="preserve">　江琳倩0591-83372510 </w:t>
      </w:r>
    </w:p>
    <w:p w14:paraId="0A0A688B">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2.采购代理机构信息（如有）</w:t>
      </w:r>
    </w:p>
    <w:p w14:paraId="6AD646A2">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名    称</w:t>
      </w:r>
      <w:r>
        <w:rPr>
          <w:rFonts w:hint="eastAsia" w:ascii="宋体" w:hAnsi="宋体"/>
          <w:color w:val="auto"/>
          <w:szCs w:val="21"/>
          <w:highlight w:val="none"/>
        </w:rPr>
        <w:t>：</w:t>
      </w:r>
      <w:r>
        <w:rPr>
          <w:rFonts w:hint="eastAsia" w:ascii="宋体" w:hAnsi="宋体"/>
          <w:color w:val="auto"/>
          <w:szCs w:val="21"/>
          <w:highlight w:val="none"/>
          <w:u w:val="single"/>
        </w:rPr>
        <w:t>福建省福瑞工程管理有限公司</w:t>
      </w:r>
    </w:p>
    <w:p w14:paraId="45416B34">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w:t>
      </w:r>
      <w:r>
        <w:rPr>
          <w:rFonts w:hint="eastAsia" w:ascii="宋体" w:hAnsi="宋体"/>
          <w:color w:val="auto"/>
          <w:szCs w:val="21"/>
          <w:highlight w:val="none"/>
          <w:u w:val="single"/>
        </w:rPr>
        <w:t>福州市鼓楼区湖滨路66号中福西湖花园1号楼A区2层</w:t>
      </w:r>
    </w:p>
    <w:p w14:paraId="662F126D">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陈思思、林松芳0591-86215533</w:t>
      </w:r>
    </w:p>
    <w:p w14:paraId="4BA0C6CC">
      <w:pPr>
        <w:widowControl/>
        <w:spacing w:line="360" w:lineRule="auto"/>
        <w:ind w:firstLine="420" w:firstLineChars="200"/>
        <w:jc w:val="left"/>
        <w:rPr>
          <w:rFonts w:hint="eastAsia" w:ascii="宋体" w:hAnsi="宋体"/>
          <w:color w:val="auto"/>
          <w:szCs w:val="21"/>
          <w:highlight w:val="none"/>
          <w:u w:val="single"/>
        </w:rPr>
      </w:pPr>
      <w:r>
        <w:rPr>
          <w:rFonts w:hint="eastAsia" w:ascii="宋体" w:hAnsi="宋体" w:cs="宋体"/>
          <w:color w:val="auto"/>
          <w:szCs w:val="21"/>
          <w:highlight w:val="none"/>
        </w:rPr>
        <w:t>3.项目</w:t>
      </w:r>
      <w:r>
        <w:rPr>
          <w:rFonts w:ascii="宋体" w:hAnsi="宋体" w:cs="宋体"/>
          <w:color w:val="auto"/>
          <w:szCs w:val="21"/>
          <w:highlight w:val="none"/>
        </w:rPr>
        <w:t>联系方式</w:t>
      </w:r>
    </w:p>
    <w:p w14:paraId="11A3A3E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陈思思、林松芳</w:t>
      </w:r>
    </w:p>
    <w:p w14:paraId="72742565">
      <w:pPr>
        <w:widowControl/>
        <w:spacing w:line="360" w:lineRule="auto"/>
        <w:ind w:firstLine="420" w:firstLineChars="200"/>
        <w:jc w:val="left"/>
        <w:rPr>
          <w:rFonts w:hint="eastAsia" w:ascii="宋体" w:hAnsi="宋体"/>
          <w:color w:val="auto"/>
          <w:szCs w:val="21"/>
          <w:highlight w:val="none"/>
          <w:u w:val="single"/>
        </w:rPr>
      </w:pPr>
      <w:r>
        <w:rPr>
          <w:rFonts w:hint="eastAsia" w:ascii="宋体" w:hAnsi="宋体" w:cs="宋体"/>
          <w:color w:val="auto"/>
          <w:szCs w:val="21"/>
          <w:highlight w:val="none"/>
        </w:rPr>
        <w:t>电　    话</w:t>
      </w:r>
      <w:r>
        <w:rPr>
          <w:rFonts w:hint="eastAsia" w:ascii="宋体" w:hAnsi="宋体"/>
          <w:color w:val="auto"/>
          <w:szCs w:val="21"/>
          <w:highlight w:val="none"/>
        </w:rPr>
        <w:t>：</w:t>
      </w:r>
      <w:r>
        <w:rPr>
          <w:rFonts w:hint="eastAsia" w:ascii="宋体" w:hAnsi="宋体"/>
          <w:color w:val="auto"/>
          <w:szCs w:val="21"/>
          <w:highlight w:val="none"/>
          <w:u w:val="single"/>
        </w:rPr>
        <w:t>0591-86215533</w:t>
      </w:r>
    </w:p>
    <w:p w14:paraId="0794AFDC">
      <w:pPr>
        <w:spacing w:line="360" w:lineRule="auto"/>
        <w:rPr>
          <w:color w:val="auto"/>
          <w:highlight w:val="none"/>
        </w:rPr>
      </w:pPr>
    </w:p>
    <w:p w14:paraId="1B001A83">
      <w:pPr>
        <w:spacing w:line="360" w:lineRule="auto"/>
        <w:rPr>
          <w:color w:val="auto"/>
          <w:highlight w:val="none"/>
        </w:rPr>
        <w:sectPr>
          <w:footerReference r:id="rId8" w:type="default"/>
          <w:pgSz w:w="11906" w:h="16838"/>
          <w:pgMar w:top="1440" w:right="1752" w:bottom="1440" w:left="1752" w:header="851" w:footer="992" w:gutter="0"/>
          <w:cols w:space="720" w:num="1"/>
          <w:titlePg/>
          <w:docGrid w:type="lines" w:linePitch="312" w:charSpace="0"/>
        </w:sectPr>
      </w:pPr>
    </w:p>
    <w:p w14:paraId="11F61ACC">
      <w:pPr>
        <w:jc w:val="center"/>
        <w:rPr>
          <w:rFonts w:hint="eastAsia" w:ascii="华文中宋" w:hAnsi="华文中宋" w:eastAsia="华文中宋" w:cs="华文中宋"/>
          <w:color w:val="auto"/>
          <w:sz w:val="28"/>
          <w:szCs w:val="28"/>
          <w:highlight w:val="none"/>
        </w:rPr>
      </w:pPr>
      <w:bookmarkStart w:id="1" w:name="_Toc132880272"/>
      <w:r>
        <w:rPr>
          <w:rFonts w:hint="eastAsia" w:ascii="华文中宋" w:hAnsi="华文中宋" w:eastAsia="华文中宋" w:cs="华文中宋"/>
          <w:color w:val="auto"/>
          <w:sz w:val="28"/>
          <w:szCs w:val="28"/>
          <w:highlight w:val="none"/>
        </w:rPr>
        <w:t>第二章　投标人须知</w:t>
      </w:r>
      <w:bookmarkEnd w:id="1"/>
    </w:p>
    <w:p w14:paraId="72A31837">
      <w:pPr>
        <w:jc w:val="center"/>
        <w:rPr>
          <w:rFonts w:hint="eastAsia" w:ascii="方正小标宋简体" w:hAnsi="方正小标宋简体" w:eastAsia="方正小标宋简体" w:cs="方正小标宋简体"/>
          <w:color w:val="auto"/>
          <w:sz w:val="24"/>
          <w:szCs w:val="24"/>
          <w:highlight w:val="none"/>
        </w:rPr>
      </w:pPr>
      <w:bookmarkStart w:id="2" w:name="_Toc132880273"/>
      <w:r>
        <w:rPr>
          <w:rFonts w:hint="eastAsia" w:ascii="方正小标宋简体" w:hAnsi="方正小标宋简体" w:eastAsia="方正小标宋简体" w:cs="方正小标宋简体"/>
          <w:color w:val="auto"/>
          <w:sz w:val="24"/>
          <w:szCs w:val="24"/>
          <w:highlight w:val="none"/>
        </w:rPr>
        <w:t>投标人须知前附表</w:t>
      </w:r>
      <w:bookmarkEnd w:id="2"/>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984"/>
        <w:gridCol w:w="851"/>
        <w:gridCol w:w="5207"/>
      </w:tblGrid>
      <w:tr w14:paraId="31B4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3221FCCB">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 号</w:t>
            </w:r>
          </w:p>
        </w:tc>
        <w:tc>
          <w:tcPr>
            <w:tcW w:w="1984" w:type="dxa"/>
            <w:tcBorders>
              <w:top w:val="single" w:color="auto" w:sz="4" w:space="0"/>
              <w:left w:val="single" w:color="auto" w:sz="4" w:space="0"/>
              <w:bottom w:val="single" w:color="auto" w:sz="4" w:space="0"/>
              <w:right w:val="single" w:color="auto" w:sz="4" w:space="0"/>
            </w:tcBorders>
            <w:vAlign w:val="center"/>
          </w:tcPr>
          <w:p w14:paraId="188BAFB9">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6B42B1A0">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     容</w:t>
            </w:r>
          </w:p>
        </w:tc>
      </w:tr>
      <w:tr w14:paraId="519C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14:paraId="7A56D82F">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84" w:type="dxa"/>
            <w:vMerge w:val="restart"/>
            <w:tcBorders>
              <w:top w:val="single" w:color="auto" w:sz="4" w:space="0"/>
              <w:left w:val="single" w:color="auto" w:sz="4" w:space="0"/>
              <w:right w:val="single" w:color="auto" w:sz="4" w:space="0"/>
            </w:tcBorders>
            <w:vAlign w:val="center"/>
          </w:tcPr>
          <w:p w14:paraId="368DA255">
            <w:pPr>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4E415A04">
            <w:pPr>
              <w:adjustRightInd w:val="0"/>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国家税务总局福州市税务局12366纳税服务咨询外包采购项目</w:t>
            </w:r>
          </w:p>
        </w:tc>
      </w:tr>
      <w:tr w14:paraId="1559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621AB69D">
            <w:pPr>
              <w:adjustRightInd w:val="0"/>
              <w:snapToGrid w:val="0"/>
              <w:spacing w:line="360" w:lineRule="auto"/>
              <w:jc w:val="center"/>
              <w:rPr>
                <w:rFonts w:ascii="Times New Roman" w:hAnsi="Times New Roman"/>
                <w:color w:val="auto"/>
                <w:szCs w:val="21"/>
                <w:highlight w:val="none"/>
              </w:rPr>
            </w:pPr>
          </w:p>
        </w:tc>
        <w:tc>
          <w:tcPr>
            <w:tcW w:w="1984" w:type="dxa"/>
            <w:vMerge w:val="continue"/>
            <w:tcBorders>
              <w:left w:val="single" w:color="auto" w:sz="4" w:space="0"/>
              <w:right w:val="single" w:color="auto" w:sz="4" w:space="0"/>
            </w:tcBorders>
            <w:vAlign w:val="center"/>
          </w:tcPr>
          <w:p w14:paraId="0D33F4E4">
            <w:pPr>
              <w:adjustRightInd w:val="0"/>
              <w:snapToGrid w:val="0"/>
              <w:spacing w:line="360" w:lineRule="auto"/>
              <w:jc w:val="center"/>
              <w:rPr>
                <w:rFonts w:ascii="Times New Roman" w:hAnsi="Times New Roman"/>
                <w:color w:val="auto"/>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6F2FC2B1">
            <w:pPr>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FJ2025-DLGK-C0019-B00</w:t>
            </w:r>
          </w:p>
        </w:tc>
      </w:tr>
      <w:tr w14:paraId="24A7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6DE69266">
            <w:pPr>
              <w:adjustRightInd w:val="0"/>
              <w:snapToGrid w:val="0"/>
              <w:spacing w:line="360" w:lineRule="auto"/>
              <w:jc w:val="center"/>
              <w:rPr>
                <w:rFonts w:ascii="Times New Roman" w:hAnsi="Times New Roman"/>
                <w:color w:val="auto"/>
                <w:szCs w:val="21"/>
                <w:highlight w:val="none"/>
              </w:rPr>
            </w:pPr>
          </w:p>
        </w:tc>
        <w:tc>
          <w:tcPr>
            <w:tcW w:w="1984" w:type="dxa"/>
            <w:vMerge w:val="continue"/>
            <w:tcBorders>
              <w:left w:val="single" w:color="auto" w:sz="4" w:space="0"/>
              <w:right w:val="single" w:color="auto" w:sz="4" w:space="0"/>
            </w:tcBorders>
            <w:vAlign w:val="center"/>
          </w:tcPr>
          <w:p w14:paraId="1946F6A0">
            <w:pPr>
              <w:adjustRightInd w:val="0"/>
              <w:snapToGrid w:val="0"/>
              <w:spacing w:line="360" w:lineRule="auto"/>
              <w:jc w:val="center"/>
              <w:rPr>
                <w:rFonts w:ascii="Times New Roman" w:hAnsi="Times New Roman"/>
                <w:color w:val="auto"/>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2F41D75">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项目预算：</w:t>
            </w:r>
            <w:r>
              <w:rPr>
                <w:rFonts w:hint="eastAsia" w:ascii="宋体" w:hAnsi="宋体" w:cs="宋体"/>
                <w:color w:val="auto"/>
                <w:szCs w:val="21"/>
                <w:highlight w:val="none"/>
                <w:u w:val="single"/>
              </w:rPr>
              <w:t>1140万元</w:t>
            </w:r>
          </w:p>
        </w:tc>
      </w:tr>
      <w:tr w14:paraId="5943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vAlign w:val="center"/>
          </w:tcPr>
          <w:p w14:paraId="07850705">
            <w:pPr>
              <w:adjustRightInd w:val="0"/>
              <w:snapToGrid w:val="0"/>
              <w:spacing w:line="360" w:lineRule="auto"/>
              <w:jc w:val="center"/>
              <w:rPr>
                <w:rFonts w:ascii="Times New Roman" w:hAnsi="Times New Roman"/>
                <w:color w:val="auto"/>
                <w:szCs w:val="21"/>
                <w:highlight w:val="none"/>
              </w:rPr>
            </w:pPr>
          </w:p>
        </w:tc>
        <w:tc>
          <w:tcPr>
            <w:tcW w:w="1984" w:type="dxa"/>
            <w:vMerge w:val="continue"/>
            <w:tcBorders>
              <w:left w:val="single" w:color="auto" w:sz="4" w:space="0"/>
              <w:bottom w:val="single" w:color="auto" w:sz="4" w:space="0"/>
              <w:right w:val="single" w:color="auto" w:sz="4" w:space="0"/>
            </w:tcBorders>
            <w:vAlign w:val="center"/>
          </w:tcPr>
          <w:p w14:paraId="7BA23248">
            <w:pPr>
              <w:adjustRightInd w:val="0"/>
              <w:snapToGrid w:val="0"/>
              <w:spacing w:line="360" w:lineRule="auto"/>
              <w:jc w:val="center"/>
              <w:rPr>
                <w:rFonts w:ascii="Times New Roman" w:hAnsi="Times New Roman"/>
                <w:color w:val="auto"/>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54B75D24">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u w:val="single"/>
              </w:rPr>
              <w:t>1140万元</w:t>
            </w:r>
          </w:p>
        </w:tc>
      </w:tr>
      <w:tr w14:paraId="6E73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26255DE6">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984" w:type="dxa"/>
            <w:tcBorders>
              <w:top w:val="single" w:color="auto" w:sz="4" w:space="0"/>
              <w:left w:val="single" w:color="auto" w:sz="4" w:space="0"/>
              <w:bottom w:val="single" w:color="auto" w:sz="4" w:space="0"/>
              <w:right w:val="single" w:color="auto" w:sz="4" w:space="0"/>
            </w:tcBorders>
            <w:vAlign w:val="center"/>
          </w:tcPr>
          <w:p w14:paraId="04ECA057">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1C87BF3">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详见《招标文件（技术部分）》</w:t>
            </w:r>
          </w:p>
        </w:tc>
      </w:tr>
      <w:tr w14:paraId="1E30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E3C188A">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984" w:type="dxa"/>
            <w:tcBorders>
              <w:top w:val="single" w:color="auto" w:sz="4" w:space="0"/>
              <w:left w:val="single" w:color="auto" w:sz="4" w:space="0"/>
              <w:bottom w:val="single" w:color="auto" w:sz="4" w:space="0"/>
              <w:right w:val="single" w:color="auto" w:sz="4" w:space="0"/>
            </w:tcBorders>
            <w:vAlign w:val="center"/>
          </w:tcPr>
          <w:p w14:paraId="29398609">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项目属性和类别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390AC214">
            <w:pPr>
              <w:adjustRightInd w:val="0"/>
              <w:snapToGrid w:val="0"/>
              <w:spacing w:line="360" w:lineRule="auto"/>
              <w:jc w:val="left"/>
              <w:rPr>
                <w:rFonts w:ascii="Times New Roman" w:hAnsi="Times New Roman"/>
                <w:b/>
                <w:color w:val="auto"/>
                <w:szCs w:val="21"/>
                <w:highlight w:val="none"/>
              </w:rPr>
            </w:pPr>
            <w:r>
              <w:rPr>
                <w:rFonts w:ascii="Times New Roman" w:hAnsi="Times New Roman"/>
                <w:b/>
                <w:color w:val="auto"/>
                <w:szCs w:val="21"/>
                <w:highlight w:val="none"/>
              </w:rPr>
              <w:t>项目属性：</w:t>
            </w:r>
            <w:r>
              <w:rPr>
                <w:rFonts w:ascii="Times New Roman" w:hAnsi="Times New Roman"/>
                <w:color w:val="auto"/>
                <w:szCs w:val="21"/>
                <w:highlight w:val="none"/>
              </w:rPr>
              <w:sym w:font="Wingdings 2" w:char="F0A3"/>
            </w:r>
            <w:r>
              <w:rPr>
                <w:rFonts w:ascii="Times New Roman" w:hAnsi="Times New Roman"/>
                <w:color w:val="auto"/>
                <w:szCs w:val="21"/>
                <w:highlight w:val="none"/>
              </w:rPr>
              <w:t xml:space="preserve">货物           </w:t>
            </w:r>
            <w:r>
              <w:rPr>
                <w:rFonts w:ascii="Times New Roman" w:hAnsi="Times New Roman"/>
                <w:color w:val="auto"/>
                <w:szCs w:val="21"/>
                <w:highlight w:val="none"/>
              </w:rPr>
              <w:sym w:font="Wingdings 2" w:char="0052"/>
            </w:r>
            <w:r>
              <w:rPr>
                <w:rFonts w:ascii="Times New Roman" w:hAnsi="Times New Roman"/>
                <w:color w:val="auto"/>
                <w:szCs w:val="21"/>
                <w:highlight w:val="none"/>
              </w:rPr>
              <w:t>服务</w:t>
            </w:r>
          </w:p>
          <w:p w14:paraId="0E3EE784">
            <w:pPr>
              <w:adjustRightInd w:val="0"/>
              <w:snapToGrid w:val="0"/>
              <w:spacing w:line="360" w:lineRule="auto"/>
              <w:jc w:val="left"/>
              <w:rPr>
                <w:rFonts w:ascii="Times New Roman" w:hAnsi="Times New Roman"/>
                <w:color w:val="auto"/>
                <w:szCs w:val="21"/>
                <w:highlight w:val="none"/>
              </w:rPr>
            </w:pPr>
            <w:r>
              <w:rPr>
                <w:rFonts w:ascii="Times New Roman" w:hAnsi="Times New Roman"/>
                <w:b/>
                <w:bCs/>
                <w:color w:val="auto"/>
                <w:szCs w:val="21"/>
                <w:highlight w:val="none"/>
              </w:rPr>
              <w:t>项目类别：</w:t>
            </w: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信息化项目     </w:t>
            </w:r>
            <w:r>
              <w:rPr>
                <w:rFonts w:ascii="Times New Roman" w:hAnsi="Times New Roman"/>
                <w:color w:val="auto"/>
                <w:szCs w:val="21"/>
                <w:highlight w:val="none"/>
              </w:rPr>
              <w:sym w:font="Wingdings 2" w:char="0052"/>
            </w:r>
            <w:r>
              <w:rPr>
                <w:rFonts w:ascii="Times New Roman" w:hAnsi="Times New Roman"/>
                <w:color w:val="auto"/>
                <w:szCs w:val="21"/>
                <w:highlight w:val="none"/>
              </w:rPr>
              <w:t>非信息化项目</w:t>
            </w:r>
          </w:p>
        </w:tc>
      </w:tr>
      <w:tr w14:paraId="13A4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4CA37A86">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984" w:type="dxa"/>
            <w:tcBorders>
              <w:top w:val="single" w:color="auto" w:sz="4" w:space="0"/>
              <w:left w:val="single" w:color="auto" w:sz="4" w:space="0"/>
              <w:bottom w:val="single" w:color="auto" w:sz="4" w:space="0"/>
              <w:right w:val="single" w:color="auto" w:sz="4" w:space="0"/>
            </w:tcBorders>
            <w:vAlign w:val="center"/>
          </w:tcPr>
          <w:p w14:paraId="57A37C09">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98C9D1D">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名称：</w:t>
            </w:r>
            <w:r>
              <w:rPr>
                <w:rFonts w:hint="eastAsia" w:ascii="Times New Roman" w:hAnsi="Times New Roman"/>
                <w:color w:val="auto"/>
                <w:szCs w:val="21"/>
                <w:highlight w:val="none"/>
                <w:u w:val="single"/>
              </w:rPr>
              <w:t>国家税务总局福州市税务局</w:t>
            </w:r>
          </w:p>
          <w:p w14:paraId="751254DF">
            <w:pPr>
              <w:adjustRightInd w:val="0"/>
              <w:snapToGrid w:val="0"/>
              <w:spacing w:line="360" w:lineRule="auto"/>
              <w:jc w:val="left"/>
              <w:rPr>
                <w:rFonts w:ascii="Times New Roman" w:hAnsi="Times New Roman"/>
                <w:bCs/>
                <w:color w:val="auto"/>
                <w:szCs w:val="21"/>
                <w:highlight w:val="none"/>
              </w:rPr>
            </w:pPr>
            <w:r>
              <w:rPr>
                <w:rFonts w:ascii="Times New Roman" w:hAnsi="Times New Roman"/>
                <w:color w:val="auto"/>
                <w:szCs w:val="21"/>
                <w:highlight w:val="none"/>
              </w:rPr>
              <w:t>地址：</w:t>
            </w:r>
            <w:r>
              <w:rPr>
                <w:rFonts w:ascii="Times New Roman" w:hAnsi="Times New Roman"/>
                <w:color w:val="auto"/>
                <w:szCs w:val="21"/>
                <w:highlight w:val="none"/>
                <w:u w:val="single"/>
              </w:rPr>
              <w:t xml:space="preserve">  </w:t>
            </w:r>
            <w:r>
              <w:rPr>
                <w:rFonts w:hint="eastAsia" w:ascii="宋体" w:hAnsi="宋体"/>
                <w:color w:val="auto"/>
                <w:szCs w:val="21"/>
                <w:highlight w:val="none"/>
                <w:u w:val="single"/>
              </w:rPr>
              <w:t>福建省福州市八一七中路49号</w:t>
            </w:r>
            <w:r>
              <w:rPr>
                <w:rFonts w:ascii="Times New Roman" w:hAnsi="Times New Roman"/>
                <w:color w:val="auto"/>
                <w:szCs w:val="21"/>
                <w:highlight w:val="none"/>
                <w:u w:val="single"/>
              </w:rPr>
              <w:t xml:space="preserve">  </w:t>
            </w:r>
          </w:p>
          <w:p w14:paraId="0F67E9A7">
            <w:pPr>
              <w:adjustRightInd w:val="0"/>
              <w:snapToGrid w:val="0"/>
              <w:spacing w:line="360" w:lineRule="auto"/>
              <w:jc w:val="left"/>
              <w:rPr>
                <w:rFonts w:ascii="Times New Roman" w:hAnsi="Times New Roman"/>
                <w:bCs/>
                <w:color w:val="auto"/>
                <w:szCs w:val="21"/>
                <w:highlight w:val="none"/>
                <w:u w:val="single"/>
              </w:rPr>
            </w:pPr>
            <w:r>
              <w:rPr>
                <w:rFonts w:ascii="Times New Roman" w:hAnsi="Times New Roman"/>
                <w:color w:val="auto"/>
                <w:szCs w:val="21"/>
                <w:highlight w:val="none"/>
              </w:rPr>
              <w:t>联系</w:t>
            </w:r>
            <w:r>
              <w:rPr>
                <w:rFonts w:hint="eastAsia" w:ascii="Times New Roman" w:hAnsi="Times New Roman"/>
                <w:bCs/>
                <w:color w:val="auto"/>
                <w:szCs w:val="21"/>
                <w:highlight w:val="none"/>
              </w:rPr>
              <w:t>人</w:t>
            </w:r>
            <w:r>
              <w:rPr>
                <w:rFonts w:ascii="Times New Roman" w:hAnsi="Times New Roman"/>
                <w:bCs/>
                <w:color w:val="auto"/>
                <w:szCs w:val="21"/>
                <w:highlight w:val="none"/>
              </w:rPr>
              <w:t>：</w:t>
            </w:r>
            <w:r>
              <w:rPr>
                <w:rFonts w:ascii="Times New Roman" w:hAnsi="Times New Roman"/>
                <w:color w:val="auto"/>
                <w:szCs w:val="21"/>
                <w:highlight w:val="none"/>
                <w:u w:val="single"/>
              </w:rPr>
              <w:t xml:space="preserve"> </w:t>
            </w:r>
            <w:r>
              <w:rPr>
                <w:rFonts w:hint="eastAsia" w:ascii="宋体" w:hAnsi="宋体"/>
                <w:color w:val="auto"/>
                <w:szCs w:val="21"/>
                <w:highlight w:val="none"/>
                <w:u w:val="single"/>
              </w:rPr>
              <w:t>江琳倩</w:t>
            </w:r>
            <w:r>
              <w:rPr>
                <w:rFonts w:ascii="Times New Roman" w:hAnsi="Times New Roman"/>
                <w:color w:val="auto"/>
                <w:szCs w:val="21"/>
                <w:highlight w:val="none"/>
                <w:u w:val="single"/>
              </w:rPr>
              <w:t xml:space="preserve">  </w:t>
            </w:r>
          </w:p>
          <w:p w14:paraId="7EF88C71">
            <w:pPr>
              <w:widowControl/>
              <w:spacing w:line="360" w:lineRule="auto"/>
              <w:jc w:val="left"/>
              <w:rPr>
                <w:rFonts w:ascii="Times New Roman" w:hAnsi="Times New Roman"/>
                <w:color w:val="auto"/>
                <w:szCs w:val="21"/>
                <w:highlight w:val="none"/>
                <w:lang w:val="zh-CN"/>
              </w:rPr>
            </w:pPr>
            <w:r>
              <w:rPr>
                <w:rFonts w:ascii="Times New Roman" w:hAnsi="Times New Roman"/>
                <w:color w:val="auto"/>
                <w:szCs w:val="21"/>
                <w:highlight w:val="none"/>
              </w:rPr>
              <w:t>联系方式：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0591-83372510</w:t>
            </w:r>
            <w:r>
              <w:rPr>
                <w:rFonts w:ascii="Times New Roman" w:hAnsi="Times New Roman"/>
                <w:color w:val="auto"/>
                <w:szCs w:val="21"/>
                <w:highlight w:val="none"/>
                <w:u w:val="single"/>
              </w:rPr>
              <w:t xml:space="preserve">  </w:t>
            </w:r>
          </w:p>
        </w:tc>
      </w:tr>
      <w:tr w14:paraId="2CF3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4DE8E187">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984" w:type="dxa"/>
            <w:tcBorders>
              <w:top w:val="single" w:color="auto" w:sz="4" w:space="0"/>
              <w:left w:val="single" w:color="auto" w:sz="4" w:space="0"/>
              <w:bottom w:val="single" w:color="auto" w:sz="4" w:space="0"/>
              <w:right w:val="single" w:color="auto" w:sz="4" w:space="0"/>
            </w:tcBorders>
            <w:vAlign w:val="center"/>
          </w:tcPr>
          <w:p w14:paraId="2B516686">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0CDF13D">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名称：</w:t>
            </w:r>
            <w:r>
              <w:rPr>
                <w:rFonts w:ascii="Times New Roman" w:hAnsi="Times New Roman"/>
                <w:color w:val="auto"/>
                <w:szCs w:val="21"/>
                <w:highlight w:val="none"/>
                <w:u w:val="single"/>
              </w:rPr>
              <w:t>福建省福瑞工程管理有限公司</w:t>
            </w:r>
          </w:p>
          <w:p w14:paraId="764F0B8E">
            <w:pPr>
              <w:adjustRightInd w:val="0"/>
              <w:snapToGrid w:val="0"/>
              <w:spacing w:line="360" w:lineRule="auto"/>
              <w:jc w:val="left"/>
              <w:rPr>
                <w:rFonts w:ascii="Times New Roman" w:hAnsi="Times New Roman"/>
                <w:bCs/>
                <w:color w:val="auto"/>
                <w:szCs w:val="21"/>
                <w:highlight w:val="none"/>
              </w:rPr>
            </w:pPr>
            <w:r>
              <w:rPr>
                <w:rFonts w:ascii="Times New Roman" w:hAnsi="Times New Roman"/>
                <w:color w:val="auto"/>
                <w:szCs w:val="21"/>
                <w:highlight w:val="none"/>
              </w:rPr>
              <w:t>地址：</w:t>
            </w:r>
            <w:r>
              <w:rPr>
                <w:rFonts w:ascii="Times New Roman" w:hAnsi="Times New Roman"/>
                <w:color w:val="auto"/>
                <w:szCs w:val="21"/>
                <w:highlight w:val="none"/>
                <w:u w:val="single"/>
              </w:rPr>
              <w:t>福州市鼓楼区湖滨路66号中福西湖花园1号楼A区2层</w:t>
            </w:r>
          </w:p>
          <w:p w14:paraId="25994702">
            <w:pPr>
              <w:adjustRightInd w:val="0"/>
              <w:snapToGrid w:val="0"/>
              <w:spacing w:line="360" w:lineRule="auto"/>
              <w:jc w:val="left"/>
              <w:rPr>
                <w:rFonts w:ascii="Times New Roman" w:hAnsi="Times New Roman"/>
                <w:bCs/>
                <w:color w:val="auto"/>
                <w:szCs w:val="21"/>
                <w:highlight w:val="none"/>
                <w:u w:val="single"/>
              </w:rPr>
            </w:pPr>
            <w:r>
              <w:rPr>
                <w:rFonts w:ascii="Times New Roman" w:hAnsi="Times New Roman"/>
                <w:color w:val="auto"/>
                <w:szCs w:val="21"/>
                <w:highlight w:val="none"/>
              </w:rPr>
              <w:t>联系</w:t>
            </w:r>
            <w:r>
              <w:rPr>
                <w:rFonts w:hint="eastAsia" w:ascii="Times New Roman" w:hAnsi="Times New Roman"/>
                <w:bCs/>
                <w:color w:val="auto"/>
                <w:szCs w:val="21"/>
                <w:highlight w:val="none"/>
              </w:rPr>
              <w:t>人</w:t>
            </w:r>
            <w:r>
              <w:rPr>
                <w:rFonts w:ascii="Times New Roman" w:hAnsi="Times New Roman"/>
                <w:bCs/>
                <w:color w:val="auto"/>
                <w:szCs w:val="21"/>
                <w:highlight w:val="none"/>
              </w:rPr>
              <w:t>：</w:t>
            </w:r>
            <w:r>
              <w:rPr>
                <w:rFonts w:hint="eastAsia" w:ascii="Times New Roman" w:hAnsi="Times New Roman"/>
                <w:color w:val="auto"/>
                <w:szCs w:val="21"/>
                <w:highlight w:val="none"/>
                <w:u w:val="single"/>
              </w:rPr>
              <w:t>陈思思、林松芳</w:t>
            </w:r>
          </w:p>
          <w:p w14:paraId="02E54734">
            <w:pPr>
              <w:adjustRightInd w:val="0"/>
              <w:snapToGrid w:val="0"/>
              <w:spacing w:line="360" w:lineRule="auto"/>
              <w:jc w:val="left"/>
              <w:rPr>
                <w:rFonts w:ascii="Times New Roman" w:hAnsi="Times New Roman"/>
                <w:color w:val="auto"/>
                <w:szCs w:val="21"/>
                <w:highlight w:val="none"/>
                <w:u w:val="single"/>
              </w:rPr>
            </w:pPr>
            <w:r>
              <w:rPr>
                <w:rFonts w:ascii="Times New Roman" w:hAnsi="Times New Roman"/>
                <w:color w:val="auto"/>
                <w:szCs w:val="21"/>
                <w:highlight w:val="none"/>
              </w:rPr>
              <w:t>联系方式：</w:t>
            </w:r>
            <w:r>
              <w:rPr>
                <w:rFonts w:hint="eastAsia" w:ascii="Times New Roman" w:hAnsi="Times New Roman"/>
                <w:color w:val="auto"/>
                <w:szCs w:val="21"/>
                <w:highlight w:val="none"/>
                <w:u w:val="single"/>
              </w:rPr>
              <w:t>0591-86215533</w:t>
            </w:r>
          </w:p>
          <w:p w14:paraId="631D0114">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邮箱：</w:t>
            </w:r>
            <w:r>
              <w:rPr>
                <w:rFonts w:ascii="Times New Roman" w:hAnsi="Times New Roman"/>
                <w:color w:val="auto"/>
                <w:szCs w:val="21"/>
                <w:highlight w:val="none"/>
                <w:u w:val="single"/>
              </w:rPr>
              <w:t>fjfrzb@163.com</w:t>
            </w:r>
          </w:p>
        </w:tc>
      </w:tr>
      <w:tr w14:paraId="5140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2E5A1837">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6</w:t>
            </w:r>
          </w:p>
        </w:tc>
        <w:tc>
          <w:tcPr>
            <w:tcW w:w="1984" w:type="dxa"/>
            <w:tcBorders>
              <w:top w:val="single" w:color="auto" w:sz="4" w:space="0"/>
              <w:left w:val="single" w:color="auto" w:sz="4" w:space="0"/>
              <w:bottom w:val="single" w:color="auto" w:sz="4" w:space="0"/>
              <w:right w:val="single" w:color="auto" w:sz="4" w:space="0"/>
            </w:tcBorders>
            <w:vAlign w:val="center"/>
          </w:tcPr>
          <w:p w14:paraId="2D56EE61">
            <w:pPr>
              <w:rPr>
                <w:rFonts w:ascii="Times New Roman" w:hAnsi="Times New Roman"/>
                <w:color w:val="auto"/>
                <w:szCs w:val="21"/>
                <w:highlight w:val="none"/>
              </w:rPr>
            </w:pPr>
            <w:r>
              <w:rPr>
                <w:rFonts w:ascii="Times New Roman" w:hAnsi="Times New Roman"/>
                <w:color w:val="auto"/>
                <w:szCs w:val="21"/>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301077A6">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详见第一章投标邀请“二、 申请人的资格要求”</w:t>
            </w:r>
          </w:p>
        </w:tc>
      </w:tr>
      <w:tr w14:paraId="0E2A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F202C45">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7</w:t>
            </w:r>
          </w:p>
        </w:tc>
        <w:tc>
          <w:tcPr>
            <w:tcW w:w="1984" w:type="dxa"/>
            <w:tcBorders>
              <w:top w:val="single" w:color="auto" w:sz="4" w:space="0"/>
              <w:left w:val="single" w:color="auto" w:sz="4" w:space="0"/>
              <w:bottom w:val="single" w:color="auto" w:sz="4" w:space="0"/>
              <w:right w:val="single" w:color="auto" w:sz="4" w:space="0"/>
            </w:tcBorders>
            <w:vAlign w:val="center"/>
          </w:tcPr>
          <w:p w14:paraId="5274C800">
            <w:pPr>
              <w:rPr>
                <w:rFonts w:ascii="Times New Roman" w:hAnsi="Times New Roman"/>
                <w:color w:val="auto"/>
                <w:szCs w:val="21"/>
                <w:highlight w:val="none"/>
              </w:rPr>
            </w:pPr>
            <w:r>
              <w:rPr>
                <w:rFonts w:ascii="Times New Roman" w:hAnsi="Times New Roman"/>
                <w:color w:val="auto"/>
                <w:szCs w:val="21"/>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42801850">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不接受</w:t>
            </w:r>
          </w:p>
          <w:p w14:paraId="2FBDB059">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F0A3"/>
            </w:r>
            <w:r>
              <w:rPr>
                <w:rFonts w:ascii="Times New Roman" w:hAnsi="Times New Roman"/>
                <w:color w:val="auto"/>
                <w:szCs w:val="21"/>
                <w:highlight w:val="none"/>
              </w:rPr>
              <w:t>接受（接受联合体投标且投标人为联合体的，投标人应提供联合体协议；否则无须提供。）</w:t>
            </w:r>
          </w:p>
        </w:tc>
      </w:tr>
      <w:tr w14:paraId="552E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29D000D4">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8</w:t>
            </w:r>
          </w:p>
        </w:tc>
        <w:tc>
          <w:tcPr>
            <w:tcW w:w="1984" w:type="dxa"/>
            <w:tcBorders>
              <w:top w:val="single" w:color="auto" w:sz="4" w:space="0"/>
              <w:left w:val="single" w:color="auto" w:sz="4" w:space="0"/>
              <w:bottom w:val="single" w:color="auto" w:sz="4" w:space="0"/>
              <w:right w:val="single" w:color="auto" w:sz="4" w:space="0"/>
            </w:tcBorders>
            <w:vAlign w:val="center"/>
          </w:tcPr>
          <w:p w14:paraId="63D52EE2">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3DB018DE">
            <w:pPr>
              <w:adjustRightInd w:val="0"/>
              <w:snapToGrid w:val="0"/>
              <w:spacing w:line="360" w:lineRule="auto"/>
              <w:rPr>
                <w:rFonts w:ascii="Times New Roman" w:hAnsi="Times New Roman"/>
                <w:color w:val="auto"/>
                <w:szCs w:val="21"/>
                <w:highlight w:val="none"/>
              </w:rPr>
            </w:pPr>
            <w:r>
              <w:rPr>
                <w:rFonts w:hint="eastAsia" w:ascii="宋体" w:hAnsi="宋体" w:cs="宋体"/>
                <w:color w:val="auto"/>
                <w:sz w:val="22"/>
                <w:highlight w:val="none"/>
              </w:rPr>
              <w:t>软件和信息技术服务业</w:t>
            </w:r>
          </w:p>
        </w:tc>
      </w:tr>
      <w:tr w14:paraId="33E3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5021ACED">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9</w:t>
            </w:r>
          </w:p>
        </w:tc>
        <w:tc>
          <w:tcPr>
            <w:tcW w:w="1984" w:type="dxa"/>
            <w:tcBorders>
              <w:top w:val="single" w:color="auto" w:sz="4" w:space="0"/>
              <w:left w:val="single" w:color="auto" w:sz="4" w:space="0"/>
              <w:bottom w:val="single" w:color="auto" w:sz="4" w:space="0"/>
              <w:right w:val="single" w:color="auto" w:sz="4" w:space="0"/>
            </w:tcBorders>
            <w:vAlign w:val="center"/>
          </w:tcPr>
          <w:p w14:paraId="1651DD87">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580C8E6B">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是否允许中标人将本项目的非主体、非关键性工作进行分包：</w:t>
            </w:r>
          </w:p>
          <w:p w14:paraId="750B3873">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采购包1：</w:t>
            </w:r>
          </w:p>
          <w:p w14:paraId="0FCEFEBF">
            <w:pPr>
              <w:adjustRightInd w:val="0"/>
              <w:snapToGrid w:val="0"/>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不允许</w:t>
            </w:r>
          </w:p>
        </w:tc>
      </w:tr>
      <w:tr w14:paraId="7356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A45162D">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1984" w:type="dxa"/>
            <w:vAlign w:val="center"/>
          </w:tcPr>
          <w:p w14:paraId="2964A0C0">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核心产品</w:t>
            </w:r>
          </w:p>
        </w:tc>
        <w:tc>
          <w:tcPr>
            <w:tcW w:w="6058" w:type="dxa"/>
            <w:gridSpan w:val="2"/>
            <w:vAlign w:val="center"/>
          </w:tcPr>
          <w:p w14:paraId="2B606CCF">
            <w:pPr>
              <w:adjustRightInd w:val="0"/>
              <w:snapToGrid w:val="0"/>
              <w:spacing w:line="360" w:lineRule="auto"/>
              <w:jc w:val="left"/>
              <w:rPr>
                <w:rFonts w:ascii="Times New Roman" w:hAnsi="Times New Roman"/>
                <w:color w:val="auto"/>
                <w:szCs w:val="21"/>
                <w:highlight w:val="none"/>
                <w:u w:val="single"/>
              </w:rPr>
            </w:pPr>
            <w:r>
              <w:rPr>
                <w:rFonts w:hint="eastAsia" w:ascii="Times New Roman" w:hAnsi="Times New Roman"/>
                <w:color w:val="auto"/>
                <w:szCs w:val="21"/>
                <w:highlight w:val="none"/>
              </w:rPr>
              <w:t>本项目不适用。</w:t>
            </w:r>
          </w:p>
        </w:tc>
      </w:tr>
      <w:tr w14:paraId="55A5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36B81B9">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11</w:t>
            </w:r>
          </w:p>
        </w:tc>
        <w:tc>
          <w:tcPr>
            <w:tcW w:w="1984" w:type="dxa"/>
            <w:vAlign w:val="center"/>
          </w:tcPr>
          <w:p w14:paraId="258F5554">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采购进口产品</w:t>
            </w:r>
          </w:p>
        </w:tc>
        <w:tc>
          <w:tcPr>
            <w:tcW w:w="6058" w:type="dxa"/>
            <w:gridSpan w:val="2"/>
            <w:vAlign w:val="center"/>
          </w:tcPr>
          <w:p w14:paraId="79DA65EE">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本采购项目拒绝进口产品参加投标</w:t>
            </w:r>
          </w:p>
          <w:p w14:paraId="6FAFBF16">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□本采购项目已经财政部审核同意购买进口产品</w:t>
            </w:r>
          </w:p>
          <w:p w14:paraId="601C23B2">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□其他____________</w:t>
            </w:r>
          </w:p>
        </w:tc>
      </w:tr>
      <w:tr w14:paraId="6902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FBFB90D">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12</w:t>
            </w:r>
          </w:p>
        </w:tc>
        <w:tc>
          <w:tcPr>
            <w:tcW w:w="1984" w:type="dxa"/>
            <w:vAlign w:val="center"/>
          </w:tcPr>
          <w:p w14:paraId="249AD2EE">
            <w:pPr>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信息发布媒体</w:t>
            </w:r>
          </w:p>
        </w:tc>
        <w:tc>
          <w:tcPr>
            <w:tcW w:w="6058" w:type="dxa"/>
            <w:gridSpan w:val="2"/>
            <w:vAlign w:val="center"/>
          </w:tcPr>
          <w:p w14:paraId="1123D133">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Times New Roman" w:hAnsi="Times New Roman"/>
                <w:color w:val="auto"/>
                <w:szCs w:val="21"/>
                <w:highlight w:val="none"/>
              </w:rPr>
              <w:t>www.ccgp.gov.cn</w:t>
            </w:r>
            <w:r>
              <w:rPr>
                <w:rFonts w:ascii="Times New Roman" w:hAnsi="Times New Roman"/>
                <w:color w:val="auto"/>
                <w:szCs w:val="21"/>
                <w:highlight w:val="none"/>
              </w:rPr>
              <w:fldChar w:fldCharType="end"/>
            </w:r>
            <w:r>
              <w:rPr>
                <w:rFonts w:ascii="Times New Roman" w:hAnsi="Times New Roman"/>
                <w:color w:val="auto"/>
                <w:szCs w:val="21"/>
                <w:highlight w:val="none"/>
              </w:rPr>
              <w:t>）</w:t>
            </w:r>
          </w:p>
        </w:tc>
      </w:tr>
      <w:tr w14:paraId="1F51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430FA58">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13</w:t>
            </w:r>
          </w:p>
        </w:tc>
        <w:tc>
          <w:tcPr>
            <w:tcW w:w="1984" w:type="dxa"/>
            <w:vAlign w:val="center"/>
          </w:tcPr>
          <w:p w14:paraId="468BA8E0">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获取招标文件</w:t>
            </w:r>
          </w:p>
          <w:p w14:paraId="6FE2F8CC">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时间、地点和</w:t>
            </w:r>
          </w:p>
          <w:p w14:paraId="1242EB60">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方式等</w:t>
            </w:r>
          </w:p>
        </w:tc>
        <w:tc>
          <w:tcPr>
            <w:tcW w:w="6058" w:type="dxa"/>
            <w:gridSpan w:val="2"/>
            <w:vAlign w:val="center"/>
          </w:tcPr>
          <w:p w14:paraId="1C30F67E">
            <w:pPr>
              <w:adjustRightInd w:val="0"/>
              <w:snapToGrid w:val="0"/>
              <w:spacing w:line="360" w:lineRule="auto"/>
              <w:rPr>
                <w:rFonts w:ascii="Times New Roman" w:hAnsi="Times New Roman"/>
                <w:b/>
                <w:bCs/>
                <w:color w:val="auto"/>
                <w:szCs w:val="21"/>
                <w:highlight w:val="none"/>
              </w:rPr>
            </w:pPr>
            <w:r>
              <w:rPr>
                <w:rFonts w:ascii="Times New Roman" w:hAnsi="Times New Roman"/>
                <w:b/>
                <w:bCs/>
                <w:color w:val="auto"/>
                <w:szCs w:val="21"/>
                <w:highlight w:val="none"/>
              </w:rPr>
              <w:t>时间：</w:t>
            </w:r>
            <w:r>
              <w:rPr>
                <w:rFonts w:hint="eastAsia" w:ascii="Times New Roman" w:hAnsi="Times New Roman"/>
                <w:color w:val="auto"/>
                <w:szCs w:val="21"/>
                <w:highlight w:val="none"/>
              </w:rPr>
              <w:t>详见第一章“投标邀请”</w:t>
            </w:r>
          </w:p>
          <w:p w14:paraId="407A5B5C">
            <w:pPr>
              <w:adjustRightInd w:val="0"/>
              <w:snapToGrid w:val="0"/>
              <w:spacing w:line="360" w:lineRule="auto"/>
              <w:rPr>
                <w:rFonts w:ascii="Times New Roman" w:hAnsi="Times New Roman"/>
                <w:color w:val="auto"/>
                <w:szCs w:val="21"/>
                <w:highlight w:val="none"/>
              </w:rPr>
            </w:pPr>
            <w:r>
              <w:rPr>
                <w:rFonts w:ascii="Times New Roman" w:hAnsi="Times New Roman"/>
                <w:b/>
                <w:color w:val="auto"/>
                <w:szCs w:val="21"/>
                <w:highlight w:val="none"/>
              </w:rPr>
              <w:t>地点：</w:t>
            </w:r>
            <w:r>
              <w:rPr>
                <w:rFonts w:hint="eastAsia" w:ascii="Times New Roman" w:hAnsi="Times New Roman"/>
                <w:color w:val="auto"/>
                <w:szCs w:val="21"/>
                <w:highlight w:val="none"/>
              </w:rPr>
              <w:t>详见第一章“投标邀请”</w:t>
            </w:r>
          </w:p>
          <w:p w14:paraId="29840890">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b/>
                <w:color w:val="auto"/>
                <w:szCs w:val="21"/>
                <w:highlight w:val="none"/>
              </w:rPr>
              <w:t>方式：</w:t>
            </w:r>
            <w:r>
              <w:rPr>
                <w:rFonts w:hint="eastAsia" w:ascii="Times New Roman" w:hAnsi="Times New Roman"/>
                <w:color w:val="auto"/>
                <w:szCs w:val="21"/>
                <w:highlight w:val="none"/>
              </w:rPr>
              <w:t>详见第一章“投标邀请”</w:t>
            </w:r>
          </w:p>
        </w:tc>
      </w:tr>
      <w:tr w14:paraId="793B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6EB75D3">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14</w:t>
            </w:r>
          </w:p>
        </w:tc>
        <w:tc>
          <w:tcPr>
            <w:tcW w:w="1984" w:type="dxa"/>
            <w:vAlign w:val="center"/>
          </w:tcPr>
          <w:p w14:paraId="145723AC">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现场考察/踏勘</w:t>
            </w:r>
          </w:p>
        </w:tc>
        <w:tc>
          <w:tcPr>
            <w:tcW w:w="6058" w:type="dxa"/>
            <w:gridSpan w:val="2"/>
            <w:vAlign w:val="center"/>
          </w:tcPr>
          <w:p w14:paraId="353D83B7">
            <w:pPr>
              <w:tabs>
                <w:tab w:val="left" w:pos="0"/>
                <w:tab w:val="left" w:pos="420"/>
              </w:tabs>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不组织现场考察/踏勘</w:t>
            </w:r>
          </w:p>
        </w:tc>
      </w:tr>
      <w:tr w14:paraId="73D9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F64ED67">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15</w:t>
            </w:r>
          </w:p>
        </w:tc>
        <w:tc>
          <w:tcPr>
            <w:tcW w:w="1984" w:type="dxa"/>
            <w:vAlign w:val="center"/>
          </w:tcPr>
          <w:p w14:paraId="2D08EA9A">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样品</w:t>
            </w:r>
          </w:p>
        </w:tc>
        <w:tc>
          <w:tcPr>
            <w:tcW w:w="6058" w:type="dxa"/>
            <w:gridSpan w:val="2"/>
            <w:vAlign w:val="center"/>
          </w:tcPr>
          <w:p w14:paraId="5A508165">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不要求提供</w:t>
            </w:r>
          </w:p>
        </w:tc>
      </w:tr>
      <w:tr w14:paraId="218A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0B082844">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16</w:t>
            </w:r>
          </w:p>
        </w:tc>
        <w:tc>
          <w:tcPr>
            <w:tcW w:w="1984" w:type="dxa"/>
            <w:vMerge w:val="restart"/>
            <w:vAlign w:val="center"/>
          </w:tcPr>
          <w:p w14:paraId="494B77D0">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投标文件组成</w:t>
            </w:r>
          </w:p>
        </w:tc>
        <w:tc>
          <w:tcPr>
            <w:tcW w:w="851" w:type="dxa"/>
            <w:vMerge w:val="restart"/>
            <w:vAlign w:val="center"/>
          </w:tcPr>
          <w:p w14:paraId="5ED76726">
            <w:pPr>
              <w:topLinePunct/>
              <w:autoSpaceDE w:val="0"/>
              <w:autoSpaceDN w:val="0"/>
              <w:adjustRightInd w:val="0"/>
              <w:snapToGrid w:val="0"/>
              <w:spacing w:line="360" w:lineRule="auto"/>
              <w:jc w:val="center"/>
              <w:rPr>
                <w:rFonts w:ascii="Times New Roman" w:hAnsi="Times New Roman"/>
                <w:bCs/>
                <w:color w:val="auto"/>
                <w:szCs w:val="21"/>
                <w:highlight w:val="none"/>
              </w:rPr>
            </w:pPr>
            <w:r>
              <w:rPr>
                <w:rFonts w:ascii="Times New Roman" w:hAnsi="Times New Roman"/>
                <w:color w:val="auto"/>
                <w:szCs w:val="21"/>
                <w:highlight w:val="none"/>
              </w:rPr>
              <w:t>商务部</w:t>
            </w:r>
            <w:r>
              <w:rPr>
                <w:rFonts w:ascii="Times New Roman" w:hAnsi="Times New Roman"/>
                <w:bCs/>
                <w:color w:val="auto"/>
                <w:szCs w:val="21"/>
                <w:highlight w:val="none"/>
              </w:rPr>
              <w:t>分</w:t>
            </w:r>
          </w:p>
        </w:tc>
        <w:tc>
          <w:tcPr>
            <w:tcW w:w="5207" w:type="dxa"/>
            <w:vAlign w:val="center"/>
          </w:tcPr>
          <w:p w14:paraId="444DC1F9">
            <w:pPr>
              <w:widowControl/>
              <w:tabs>
                <w:tab w:val="left" w:pos="0"/>
                <w:tab w:val="left" w:pos="420"/>
              </w:tabs>
              <w:adjustRightInd w:val="0"/>
              <w:snapToGrid w:val="0"/>
              <w:spacing w:line="360" w:lineRule="auto"/>
              <w:jc w:val="left"/>
              <w:rPr>
                <w:rFonts w:ascii="Times New Roman" w:hAnsi="Times New Roman"/>
                <w:color w:val="auto"/>
                <w:szCs w:val="21"/>
                <w:highlight w:val="none"/>
              </w:rPr>
            </w:pPr>
            <w:r>
              <w:rPr>
                <w:rFonts w:ascii="Times New Roman" w:hAnsi="Times New Roman"/>
                <w:b/>
                <w:color w:val="auto"/>
                <w:szCs w:val="21"/>
                <w:highlight w:val="none"/>
              </w:rPr>
              <w:t>一、资格证明文件：</w:t>
            </w:r>
          </w:p>
          <w:p w14:paraId="4C04474A">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1.★法人或者其他组织的营业执照等证明文件，自然人的身份证明复印件；</w:t>
            </w:r>
          </w:p>
          <w:p w14:paraId="3401420E">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2.★财务状况报告：提供经会计师事务所审计的 2023 或2024年度的财务报告（包括资产负债表、利润表、现金流量表、所有者权益变动表（若有）及其附注（若有）、会计师事务所营业执照和注册会计师资格证书）或其开户银行出具的资信证明（资信证明注明“复印无效”的，须提供原件））；</w:t>
            </w:r>
          </w:p>
          <w:p w14:paraId="0E266A18">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3.★依法缴纳税收：投标截止时间前已依法缴纳税收的投标人，提供投标截止时间前六个月中任一月份的税收缴纳凭据复印件（若为投标截止当月成立的投标人，无法提供依法缴纳税收的相关材料的，视为满足该条件）；</w:t>
            </w:r>
          </w:p>
          <w:p w14:paraId="1DD0DD55">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4.★社会保障资金：投标截止时间前已依法缴纳社会保障资金的投标人，提供投标截止时间前六个月中任一月份的社会保障资金缴纳凭据复印件（若为投标截止当月成立的投标人，无法提供缴纳社会保障资金的相关材料的，视为满足该条件）；</w:t>
            </w:r>
          </w:p>
          <w:p w14:paraId="09840805">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5.★</w:t>
            </w:r>
            <w:r>
              <w:rPr>
                <w:rFonts w:hint="eastAsia" w:ascii="宋体" w:hAnsi="宋体" w:cs="宋体"/>
                <w:color w:val="auto"/>
                <w:szCs w:val="21"/>
                <w:highlight w:val="none"/>
              </w:rPr>
              <w:t>提供无行贿犯罪记录承诺（说明）函（投标人自行对其有无行贿犯罪情形进行说明或承诺，格式自拟）；</w:t>
            </w:r>
          </w:p>
          <w:p w14:paraId="4F12AAE1">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6.★</w:t>
            </w:r>
            <w:r>
              <w:rPr>
                <w:rFonts w:hint="eastAsia"/>
                <w:color w:val="auto"/>
                <w:highlight w:val="none"/>
              </w:rPr>
              <w:t>具备履行合同所必需的设备和专业技术能力的书面声明</w:t>
            </w:r>
            <w:r>
              <w:rPr>
                <w:rFonts w:ascii="Times New Roman" w:hAnsi="Times New Roman"/>
                <w:color w:val="auto"/>
                <w:szCs w:val="21"/>
                <w:highlight w:val="none"/>
              </w:rPr>
              <w:t>；</w:t>
            </w:r>
          </w:p>
          <w:p w14:paraId="1749A04D">
            <w:pPr>
              <w:adjustRightInd w:val="0"/>
              <w:snapToGrid w:val="0"/>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7</w:t>
            </w:r>
            <w:r>
              <w:rPr>
                <w:rFonts w:ascii="Times New Roman" w:hAnsi="Times New Roman"/>
                <w:color w:val="auto"/>
                <w:szCs w:val="21"/>
                <w:highlight w:val="none"/>
              </w:rPr>
              <w:t>.★</w:t>
            </w:r>
            <w:r>
              <w:rPr>
                <w:rFonts w:hint="eastAsia"/>
                <w:color w:val="auto"/>
                <w:highlight w:val="none"/>
              </w:rPr>
              <w:t>参加政府采购活动前 3 年内在经营活动中没有重大违法记录的书面声明</w:t>
            </w:r>
            <w:r>
              <w:rPr>
                <w:rFonts w:ascii="Times New Roman" w:hAnsi="Times New Roman"/>
                <w:color w:val="auto"/>
                <w:szCs w:val="21"/>
                <w:highlight w:val="none"/>
              </w:rPr>
              <w:t>；</w:t>
            </w:r>
          </w:p>
          <w:p w14:paraId="3E201E99">
            <w:pPr>
              <w:adjustRightInd w:val="0"/>
              <w:snapToGrid w:val="0"/>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8</w:t>
            </w:r>
            <w:r>
              <w:rPr>
                <w:rFonts w:ascii="Times New Roman" w:hAnsi="Times New Roman"/>
                <w:color w:val="auto"/>
                <w:szCs w:val="21"/>
                <w:highlight w:val="none"/>
              </w:rPr>
              <w:t>.★</w:t>
            </w:r>
            <w:r>
              <w:rPr>
                <w:rFonts w:hint="eastAsia"/>
                <w:color w:val="auto"/>
                <w:highlight w:val="none"/>
              </w:rPr>
              <w:t>被列入失信被执行人、重大税收违法案件当事人名单、政府采购严重违法失信行为记录名单及其他不符合《中华人民共和国政府采购法》第二十二条规定条件的投标人，不得参加本次投标。（1）投标人针对“信用记录查询结果 ”可自主提供证明材料，未提供该证明材料的不视为无效投标。（2）查询结果的审查：①信用记录查询的截止时点：信用记录查询的截止时点为本项目投标截止当日。②信用记录查询渠道：信用中国（www.creditchina.gov.cn）和中国政府采购网（www.ccgp.gov.cn） 。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⑤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w:t>
            </w:r>
          </w:p>
          <w:p w14:paraId="6D525AC8">
            <w:pPr>
              <w:adjustRightInd w:val="0"/>
              <w:snapToGrid w:val="0"/>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9</w:t>
            </w:r>
            <w:r>
              <w:rPr>
                <w:rFonts w:ascii="Times New Roman" w:hAnsi="Times New Roman"/>
                <w:color w:val="auto"/>
                <w:szCs w:val="21"/>
                <w:highlight w:val="none"/>
              </w:rPr>
              <w:t>.★</w:t>
            </w:r>
            <w:r>
              <w:rPr>
                <w:rFonts w:hint="eastAsia"/>
                <w:color w:val="auto"/>
                <w:highlight w:val="none"/>
              </w:rPr>
              <w:t>落实政府采购政策需满足的资格要求：无</w:t>
            </w:r>
            <w:r>
              <w:rPr>
                <w:rFonts w:ascii="Times New Roman" w:hAnsi="Times New Roman"/>
                <w:color w:val="auto"/>
                <w:szCs w:val="21"/>
                <w:highlight w:val="none"/>
              </w:rPr>
              <w:t>；</w:t>
            </w:r>
          </w:p>
          <w:p w14:paraId="5AD815FA">
            <w:pPr>
              <w:widowControl/>
              <w:tabs>
                <w:tab w:val="left" w:pos="0"/>
                <w:tab w:val="left" w:pos="220"/>
              </w:tabs>
              <w:adjustRightInd w:val="0"/>
              <w:snapToGrid w:val="0"/>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10</w:t>
            </w:r>
            <w:r>
              <w:rPr>
                <w:rFonts w:ascii="Times New Roman" w:hAnsi="Times New Roman"/>
                <w:color w:val="auto"/>
                <w:szCs w:val="21"/>
                <w:highlight w:val="none"/>
              </w:rPr>
              <w:t>.</w:t>
            </w:r>
            <w:r>
              <w:rPr>
                <w:rFonts w:hint="eastAsia"/>
                <w:color w:val="auto"/>
                <w:highlight w:val="none"/>
              </w:rPr>
              <w:t>本项目（不接受）联合体投标。</w:t>
            </w:r>
          </w:p>
        </w:tc>
      </w:tr>
      <w:tr w14:paraId="49A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7F8DD788">
            <w:pPr>
              <w:adjustRightInd w:val="0"/>
              <w:snapToGrid w:val="0"/>
              <w:spacing w:line="360" w:lineRule="auto"/>
              <w:jc w:val="center"/>
              <w:rPr>
                <w:rFonts w:ascii="Times New Roman" w:hAnsi="Times New Roman"/>
                <w:b/>
                <w:color w:val="auto"/>
                <w:szCs w:val="21"/>
                <w:highlight w:val="none"/>
              </w:rPr>
            </w:pPr>
          </w:p>
        </w:tc>
        <w:tc>
          <w:tcPr>
            <w:tcW w:w="1984" w:type="dxa"/>
            <w:vMerge w:val="continue"/>
            <w:vAlign w:val="center"/>
          </w:tcPr>
          <w:p w14:paraId="1A607771">
            <w:pPr>
              <w:topLinePunct/>
              <w:autoSpaceDE w:val="0"/>
              <w:autoSpaceDN w:val="0"/>
              <w:adjustRightInd w:val="0"/>
              <w:snapToGrid w:val="0"/>
              <w:spacing w:line="360" w:lineRule="auto"/>
              <w:jc w:val="center"/>
              <w:rPr>
                <w:rFonts w:ascii="Times New Roman" w:hAnsi="Times New Roman"/>
                <w:b/>
                <w:color w:val="auto"/>
                <w:szCs w:val="21"/>
                <w:highlight w:val="none"/>
              </w:rPr>
            </w:pPr>
          </w:p>
        </w:tc>
        <w:tc>
          <w:tcPr>
            <w:tcW w:w="851" w:type="dxa"/>
            <w:vMerge w:val="continue"/>
            <w:vAlign w:val="center"/>
          </w:tcPr>
          <w:p w14:paraId="4523000A">
            <w:pPr>
              <w:topLinePunct/>
              <w:autoSpaceDE w:val="0"/>
              <w:autoSpaceDN w:val="0"/>
              <w:adjustRightInd w:val="0"/>
              <w:snapToGrid w:val="0"/>
              <w:spacing w:line="360" w:lineRule="auto"/>
              <w:rPr>
                <w:rFonts w:ascii="Times New Roman" w:hAnsi="Times New Roman"/>
                <w:b/>
                <w:bCs/>
                <w:color w:val="auto"/>
                <w:szCs w:val="21"/>
                <w:highlight w:val="none"/>
              </w:rPr>
            </w:pPr>
          </w:p>
        </w:tc>
        <w:tc>
          <w:tcPr>
            <w:tcW w:w="5207" w:type="dxa"/>
            <w:vAlign w:val="center"/>
          </w:tcPr>
          <w:p w14:paraId="59E79610">
            <w:pPr>
              <w:adjustRightInd w:val="0"/>
              <w:snapToGrid w:val="0"/>
              <w:spacing w:line="360" w:lineRule="auto"/>
              <w:jc w:val="left"/>
              <w:rPr>
                <w:rFonts w:ascii="Times New Roman" w:hAnsi="Times New Roman"/>
                <w:b/>
                <w:bCs/>
                <w:color w:val="auto"/>
                <w:szCs w:val="21"/>
                <w:highlight w:val="none"/>
              </w:rPr>
            </w:pPr>
            <w:r>
              <w:rPr>
                <w:rFonts w:ascii="Times New Roman" w:hAnsi="Times New Roman"/>
                <w:b/>
                <w:bCs/>
                <w:color w:val="auto"/>
                <w:szCs w:val="21"/>
                <w:highlight w:val="none"/>
              </w:rPr>
              <w:t>二、</w:t>
            </w:r>
            <w:r>
              <w:rPr>
                <w:rFonts w:ascii="Times New Roman" w:hAnsi="Times New Roman"/>
                <w:b/>
                <w:color w:val="auto"/>
                <w:szCs w:val="21"/>
                <w:highlight w:val="none"/>
              </w:rPr>
              <w:t>开标一览表</w:t>
            </w:r>
            <w:r>
              <w:rPr>
                <w:rFonts w:ascii="Times New Roman" w:hAnsi="Times New Roman"/>
                <w:b/>
                <w:bCs/>
                <w:color w:val="auto"/>
                <w:szCs w:val="21"/>
                <w:highlight w:val="none"/>
              </w:rPr>
              <w:t>：</w:t>
            </w:r>
          </w:p>
          <w:p w14:paraId="2DDDC4BB">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1.★投标报价表</w:t>
            </w:r>
          </w:p>
        </w:tc>
      </w:tr>
      <w:tr w14:paraId="6925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34CB978E">
            <w:pPr>
              <w:adjustRightInd w:val="0"/>
              <w:snapToGrid w:val="0"/>
              <w:spacing w:line="360" w:lineRule="auto"/>
              <w:jc w:val="center"/>
              <w:rPr>
                <w:rFonts w:ascii="Times New Roman" w:hAnsi="Times New Roman"/>
                <w:b/>
                <w:color w:val="auto"/>
                <w:szCs w:val="21"/>
                <w:highlight w:val="none"/>
              </w:rPr>
            </w:pPr>
          </w:p>
        </w:tc>
        <w:tc>
          <w:tcPr>
            <w:tcW w:w="1984" w:type="dxa"/>
            <w:vMerge w:val="continue"/>
            <w:vAlign w:val="center"/>
          </w:tcPr>
          <w:p w14:paraId="177D8B6D">
            <w:pPr>
              <w:topLinePunct/>
              <w:autoSpaceDE w:val="0"/>
              <w:autoSpaceDN w:val="0"/>
              <w:adjustRightInd w:val="0"/>
              <w:snapToGrid w:val="0"/>
              <w:spacing w:line="360" w:lineRule="auto"/>
              <w:jc w:val="center"/>
              <w:rPr>
                <w:rFonts w:ascii="Times New Roman" w:hAnsi="Times New Roman"/>
                <w:b/>
                <w:color w:val="auto"/>
                <w:szCs w:val="21"/>
                <w:highlight w:val="none"/>
              </w:rPr>
            </w:pPr>
          </w:p>
        </w:tc>
        <w:tc>
          <w:tcPr>
            <w:tcW w:w="851" w:type="dxa"/>
            <w:vMerge w:val="continue"/>
            <w:vAlign w:val="center"/>
          </w:tcPr>
          <w:p w14:paraId="3F60297E">
            <w:pPr>
              <w:topLinePunct/>
              <w:autoSpaceDE w:val="0"/>
              <w:autoSpaceDN w:val="0"/>
              <w:adjustRightInd w:val="0"/>
              <w:snapToGrid w:val="0"/>
              <w:spacing w:line="360" w:lineRule="auto"/>
              <w:rPr>
                <w:rFonts w:ascii="Times New Roman" w:hAnsi="Times New Roman"/>
                <w:b/>
                <w:bCs/>
                <w:color w:val="auto"/>
                <w:szCs w:val="21"/>
                <w:highlight w:val="none"/>
              </w:rPr>
            </w:pPr>
          </w:p>
        </w:tc>
        <w:tc>
          <w:tcPr>
            <w:tcW w:w="5207" w:type="dxa"/>
            <w:vAlign w:val="center"/>
          </w:tcPr>
          <w:p w14:paraId="076538F9">
            <w:pPr>
              <w:widowControl/>
              <w:shd w:val="clear" w:color="auto" w:fill="FFFFFF"/>
              <w:tabs>
                <w:tab w:val="left" w:pos="475"/>
                <w:tab w:val="left" w:pos="617"/>
              </w:tabs>
              <w:adjustRightInd w:val="0"/>
              <w:snapToGrid w:val="0"/>
              <w:spacing w:line="360" w:lineRule="auto"/>
              <w:jc w:val="left"/>
              <w:rPr>
                <w:rFonts w:ascii="Times New Roman" w:hAnsi="Times New Roman"/>
                <w:color w:val="auto"/>
                <w:szCs w:val="21"/>
                <w:highlight w:val="none"/>
              </w:rPr>
            </w:pPr>
            <w:r>
              <w:rPr>
                <w:rFonts w:ascii="Times New Roman" w:hAnsi="Times New Roman"/>
                <w:b/>
                <w:bCs/>
                <w:color w:val="auto"/>
                <w:szCs w:val="21"/>
                <w:highlight w:val="none"/>
              </w:rPr>
              <w:t>三、其他文件及资料：</w:t>
            </w:r>
          </w:p>
          <w:p w14:paraId="72D4E787">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1.★授权委托书（</w:t>
            </w:r>
            <w:r>
              <w:rPr>
                <w:rFonts w:ascii="Times New Roman" w:hAnsi="Times New Roman"/>
                <w:i/>
                <w:color w:val="auto"/>
                <w:szCs w:val="21"/>
                <w:highlight w:val="none"/>
              </w:rPr>
              <w:t>参考投标文件格式1</w:t>
            </w:r>
            <w:r>
              <w:rPr>
                <w:rFonts w:ascii="Times New Roman" w:hAnsi="Times New Roman"/>
                <w:color w:val="auto"/>
                <w:szCs w:val="21"/>
                <w:highlight w:val="none"/>
              </w:rPr>
              <w:t>）；</w:t>
            </w:r>
          </w:p>
          <w:p w14:paraId="7FE5E011">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2.★投标函（</w:t>
            </w:r>
            <w:r>
              <w:rPr>
                <w:rFonts w:ascii="Times New Roman" w:hAnsi="Times New Roman"/>
                <w:i/>
                <w:color w:val="auto"/>
                <w:szCs w:val="21"/>
                <w:highlight w:val="none"/>
              </w:rPr>
              <w:t>参考投标文件格式2</w:t>
            </w:r>
            <w:r>
              <w:rPr>
                <w:rFonts w:ascii="Times New Roman" w:hAnsi="Times New Roman"/>
                <w:color w:val="auto"/>
                <w:szCs w:val="21"/>
                <w:highlight w:val="none"/>
              </w:rPr>
              <w:t>）；</w:t>
            </w:r>
          </w:p>
          <w:p w14:paraId="70871ADA">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3.商务条款偏离表；</w:t>
            </w:r>
          </w:p>
          <w:p w14:paraId="02837C3E">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4.中小企业声明函（中小企业投标的，应按照《政府采购促进中小企业发展管理办法》（财库﹝2020﹞46 号印发）《关于印发中小企业划型标准规定的通知》 （工信部联企业〔2011〕300号）如实填写并提交此函）；</w:t>
            </w:r>
          </w:p>
          <w:p w14:paraId="2609095D">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5.监狱企业证明文件[监狱企业投标的，应提交省级以上监狱管理局、戒毒管理局（含新疆生产建设兵团）出具的证明文件]；</w:t>
            </w:r>
          </w:p>
          <w:p w14:paraId="08A9ED14">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6.残疾人福利性单位声明函（残疾人福利性单位投标的，应提交此函）；</w:t>
            </w:r>
          </w:p>
          <w:p w14:paraId="01047190">
            <w:pPr>
              <w:adjustRightInd w:val="0"/>
              <w:snapToGrid w:val="0"/>
              <w:spacing w:line="360" w:lineRule="auto"/>
              <w:jc w:val="left"/>
              <w:rPr>
                <w:rFonts w:ascii="Times New Roman" w:hAnsi="Times New Roman"/>
                <w:bCs/>
                <w:color w:val="auto"/>
                <w:szCs w:val="21"/>
                <w:highlight w:val="none"/>
              </w:rPr>
            </w:pPr>
            <w:r>
              <w:rPr>
                <w:rFonts w:ascii="Times New Roman" w:hAnsi="Times New Roman"/>
                <w:color w:val="auto"/>
                <w:szCs w:val="21"/>
                <w:highlight w:val="none"/>
              </w:rPr>
              <w:t>7.投标人认为需要提供的其它说明和资料；</w:t>
            </w:r>
          </w:p>
        </w:tc>
      </w:tr>
      <w:tr w14:paraId="4E2A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6D28D70D">
            <w:pPr>
              <w:adjustRightInd w:val="0"/>
              <w:snapToGrid w:val="0"/>
              <w:spacing w:line="360" w:lineRule="auto"/>
              <w:jc w:val="center"/>
              <w:rPr>
                <w:rFonts w:ascii="Times New Roman" w:hAnsi="Times New Roman"/>
                <w:color w:val="auto"/>
                <w:szCs w:val="21"/>
                <w:highlight w:val="none"/>
              </w:rPr>
            </w:pPr>
          </w:p>
        </w:tc>
        <w:tc>
          <w:tcPr>
            <w:tcW w:w="1984" w:type="dxa"/>
            <w:vMerge w:val="continue"/>
            <w:vAlign w:val="center"/>
          </w:tcPr>
          <w:p w14:paraId="6A645065">
            <w:pPr>
              <w:topLinePunct/>
              <w:autoSpaceDE w:val="0"/>
              <w:autoSpaceDN w:val="0"/>
              <w:adjustRightInd w:val="0"/>
              <w:snapToGrid w:val="0"/>
              <w:spacing w:line="360" w:lineRule="auto"/>
              <w:jc w:val="center"/>
              <w:rPr>
                <w:rFonts w:ascii="Times New Roman" w:hAnsi="Times New Roman"/>
                <w:color w:val="auto"/>
                <w:szCs w:val="21"/>
                <w:highlight w:val="none"/>
              </w:rPr>
            </w:pPr>
          </w:p>
        </w:tc>
        <w:tc>
          <w:tcPr>
            <w:tcW w:w="851" w:type="dxa"/>
            <w:vAlign w:val="center"/>
          </w:tcPr>
          <w:p w14:paraId="7860B57E">
            <w:pPr>
              <w:topLinePunct/>
              <w:autoSpaceDE w:val="0"/>
              <w:autoSpaceDN w:val="0"/>
              <w:adjustRightInd w:val="0"/>
              <w:snapToGrid w:val="0"/>
              <w:spacing w:line="360" w:lineRule="auto"/>
              <w:jc w:val="center"/>
              <w:rPr>
                <w:rFonts w:ascii="Times New Roman" w:hAnsi="Times New Roman"/>
                <w:bCs/>
                <w:color w:val="auto"/>
                <w:szCs w:val="21"/>
                <w:highlight w:val="none"/>
              </w:rPr>
            </w:pPr>
            <w:r>
              <w:rPr>
                <w:rFonts w:ascii="Times New Roman" w:hAnsi="Times New Roman"/>
                <w:color w:val="auto"/>
                <w:szCs w:val="21"/>
                <w:highlight w:val="none"/>
              </w:rPr>
              <w:t>技术部分</w:t>
            </w:r>
          </w:p>
        </w:tc>
        <w:tc>
          <w:tcPr>
            <w:tcW w:w="5207" w:type="dxa"/>
            <w:vAlign w:val="center"/>
          </w:tcPr>
          <w:p w14:paraId="5EE19F4D">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1.技术条款偏离表；</w:t>
            </w:r>
          </w:p>
          <w:p w14:paraId="1C9E2271">
            <w:pPr>
              <w:adjustRightInd w:val="0"/>
              <w:snapToGrid w:val="0"/>
              <w:spacing w:line="360" w:lineRule="auto"/>
              <w:jc w:val="left"/>
              <w:rPr>
                <w:rFonts w:ascii="Times New Roman" w:hAnsi="Times New Roman"/>
                <w:bCs/>
                <w:color w:val="auto"/>
                <w:szCs w:val="21"/>
                <w:highlight w:val="none"/>
              </w:rPr>
            </w:pPr>
            <w:r>
              <w:rPr>
                <w:rFonts w:ascii="Times New Roman" w:hAnsi="Times New Roman"/>
                <w:color w:val="auto"/>
                <w:szCs w:val="21"/>
                <w:highlight w:val="none"/>
              </w:rPr>
              <w:t>2.服务方案；</w:t>
            </w:r>
          </w:p>
          <w:p w14:paraId="1ACC880E">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3.投标人认为需要提供的其它说明和资料；</w:t>
            </w:r>
          </w:p>
        </w:tc>
      </w:tr>
      <w:tr w14:paraId="0F6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524C550B">
            <w:pPr>
              <w:adjustRightInd w:val="0"/>
              <w:snapToGrid w:val="0"/>
              <w:spacing w:line="360" w:lineRule="auto"/>
              <w:jc w:val="center"/>
              <w:rPr>
                <w:rFonts w:ascii="Times New Roman" w:hAnsi="Times New Roman"/>
                <w:b/>
                <w:color w:val="auto"/>
                <w:szCs w:val="21"/>
                <w:highlight w:val="none"/>
              </w:rPr>
            </w:pPr>
          </w:p>
        </w:tc>
        <w:tc>
          <w:tcPr>
            <w:tcW w:w="1984" w:type="dxa"/>
            <w:vMerge w:val="continue"/>
            <w:vAlign w:val="center"/>
          </w:tcPr>
          <w:p w14:paraId="6E127D66">
            <w:pPr>
              <w:topLinePunct/>
              <w:autoSpaceDE w:val="0"/>
              <w:autoSpaceDN w:val="0"/>
              <w:adjustRightInd w:val="0"/>
              <w:snapToGrid w:val="0"/>
              <w:spacing w:line="360" w:lineRule="auto"/>
              <w:jc w:val="center"/>
              <w:rPr>
                <w:rFonts w:ascii="Times New Roman" w:hAnsi="Times New Roman"/>
                <w:b/>
                <w:color w:val="auto"/>
                <w:szCs w:val="21"/>
                <w:highlight w:val="none"/>
              </w:rPr>
            </w:pPr>
          </w:p>
        </w:tc>
        <w:tc>
          <w:tcPr>
            <w:tcW w:w="6058" w:type="dxa"/>
            <w:gridSpan w:val="2"/>
            <w:vAlign w:val="center"/>
          </w:tcPr>
          <w:p w14:paraId="23B96835">
            <w:pPr>
              <w:adjustRightInd w:val="0"/>
              <w:snapToGrid w:val="0"/>
              <w:spacing w:line="360" w:lineRule="auto"/>
              <w:jc w:val="left"/>
              <w:rPr>
                <w:rFonts w:ascii="Times New Roman" w:hAnsi="Times New Roman"/>
                <w:color w:val="auto"/>
                <w:szCs w:val="21"/>
                <w:highlight w:val="none"/>
              </w:rPr>
            </w:pPr>
            <w:r>
              <w:rPr>
                <w:rFonts w:ascii="Times New Roman" w:hAnsi="Times New Roman"/>
                <w:b/>
                <w:color w:val="auto"/>
                <w:szCs w:val="21"/>
                <w:highlight w:val="none"/>
              </w:rPr>
              <w:t>以上带★的文件及资料未提供或提供的无效，则投标无效。</w:t>
            </w:r>
          </w:p>
        </w:tc>
      </w:tr>
      <w:tr w14:paraId="5E48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37DD5A8">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17</w:t>
            </w:r>
          </w:p>
        </w:tc>
        <w:tc>
          <w:tcPr>
            <w:tcW w:w="1984" w:type="dxa"/>
            <w:vAlign w:val="center"/>
          </w:tcPr>
          <w:p w14:paraId="63988858">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投标有效期</w:t>
            </w:r>
          </w:p>
        </w:tc>
        <w:tc>
          <w:tcPr>
            <w:tcW w:w="6058" w:type="dxa"/>
            <w:gridSpan w:val="2"/>
            <w:vAlign w:val="center"/>
          </w:tcPr>
          <w:p w14:paraId="2117CFBF">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从提交投标文件的截止之日起计算</w:t>
            </w:r>
            <w:r>
              <w:rPr>
                <w:rFonts w:hint="eastAsia" w:ascii="Times New Roman" w:hAnsi="Times New Roman"/>
                <w:color w:val="auto"/>
                <w:szCs w:val="21"/>
                <w:highlight w:val="none"/>
                <w:u w:val="single"/>
              </w:rPr>
              <w:t>90</w:t>
            </w:r>
            <w:r>
              <w:rPr>
                <w:rFonts w:ascii="Times New Roman" w:hAnsi="Times New Roman"/>
                <w:color w:val="auto"/>
                <w:szCs w:val="21"/>
                <w:highlight w:val="none"/>
              </w:rPr>
              <w:t>日历日。</w:t>
            </w:r>
          </w:p>
        </w:tc>
      </w:tr>
      <w:tr w14:paraId="666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3A6C3F0">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18</w:t>
            </w:r>
          </w:p>
        </w:tc>
        <w:tc>
          <w:tcPr>
            <w:tcW w:w="1984" w:type="dxa"/>
            <w:vAlign w:val="center"/>
          </w:tcPr>
          <w:p w14:paraId="4337F39A">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提交投标文件方式、截止时间、开标时间、地点</w:t>
            </w:r>
          </w:p>
        </w:tc>
        <w:tc>
          <w:tcPr>
            <w:tcW w:w="6058" w:type="dxa"/>
            <w:gridSpan w:val="2"/>
            <w:vAlign w:val="center"/>
          </w:tcPr>
          <w:p w14:paraId="68A87282">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b/>
                <w:color w:val="auto"/>
                <w:szCs w:val="21"/>
                <w:highlight w:val="none"/>
              </w:rPr>
              <w:t>提交方式：</w:t>
            </w:r>
            <w:r>
              <w:rPr>
                <w:rFonts w:ascii="Times New Roman" w:hAnsi="Times New Roman"/>
                <w:color w:val="auto"/>
                <w:szCs w:val="21"/>
                <w:highlight w:val="none"/>
                <w:u w:val="single"/>
              </w:rPr>
              <w:t>纸质文件提交</w:t>
            </w:r>
          </w:p>
          <w:p w14:paraId="0242C869">
            <w:pPr>
              <w:topLinePunct/>
              <w:autoSpaceDE w:val="0"/>
              <w:autoSpaceDN w:val="0"/>
              <w:adjustRightInd w:val="0"/>
              <w:snapToGrid w:val="0"/>
              <w:spacing w:line="360" w:lineRule="auto"/>
              <w:rPr>
                <w:rFonts w:ascii="Times New Roman" w:hAnsi="Times New Roman"/>
                <w:color w:val="auto"/>
                <w:szCs w:val="21"/>
                <w:highlight w:val="none"/>
                <w:u w:val="single"/>
              </w:rPr>
            </w:pPr>
            <w:r>
              <w:rPr>
                <w:rFonts w:ascii="Times New Roman" w:hAnsi="Times New Roman"/>
                <w:b/>
                <w:color w:val="auto"/>
                <w:szCs w:val="21"/>
                <w:highlight w:val="none"/>
              </w:rPr>
              <w:t>投标截止时间和开标时间：</w:t>
            </w:r>
            <w:r>
              <w:rPr>
                <w:rFonts w:hint="eastAsia" w:ascii="Times New Roman" w:hAnsi="Times New Roman"/>
                <w:color w:val="auto"/>
                <w:szCs w:val="21"/>
                <w:highlight w:val="none"/>
                <w:u w:val="single"/>
              </w:rPr>
              <w:t>详见第一章“投标邀请”</w:t>
            </w:r>
          </w:p>
          <w:p w14:paraId="123BA65D">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b/>
                <w:color w:val="auto"/>
                <w:szCs w:val="21"/>
                <w:highlight w:val="none"/>
              </w:rPr>
              <w:t>开标方式：</w:t>
            </w:r>
            <w:r>
              <w:rPr>
                <w:rFonts w:ascii="Times New Roman" w:hAnsi="Times New Roman"/>
                <w:color w:val="auto"/>
                <w:szCs w:val="21"/>
                <w:highlight w:val="none"/>
                <w:u w:val="single"/>
              </w:rPr>
              <w:t>线下开标</w:t>
            </w:r>
          </w:p>
          <w:p w14:paraId="513A352D">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b/>
                <w:color w:val="auto"/>
                <w:szCs w:val="21"/>
                <w:highlight w:val="none"/>
              </w:rPr>
              <w:t>提交投标文件地点：</w:t>
            </w:r>
            <w:r>
              <w:rPr>
                <w:rFonts w:hint="eastAsia" w:ascii="Times New Roman" w:hAnsi="Times New Roman"/>
                <w:color w:val="auto"/>
                <w:szCs w:val="21"/>
                <w:highlight w:val="none"/>
                <w:u w:val="single"/>
              </w:rPr>
              <w:t>详见第一章“投标邀请”</w:t>
            </w:r>
          </w:p>
          <w:p w14:paraId="2C3CC1CE">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b/>
                <w:color w:val="auto"/>
                <w:szCs w:val="21"/>
                <w:highlight w:val="none"/>
              </w:rPr>
              <w:t>开标地点：</w:t>
            </w:r>
            <w:r>
              <w:rPr>
                <w:rFonts w:hint="eastAsia" w:ascii="Times New Roman" w:hAnsi="Times New Roman"/>
                <w:color w:val="auto"/>
                <w:szCs w:val="21"/>
                <w:highlight w:val="none"/>
                <w:u w:val="single"/>
              </w:rPr>
              <w:t>详见第一章“投标邀请”</w:t>
            </w:r>
          </w:p>
          <w:p w14:paraId="777BA69B">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b/>
                <w:color w:val="auto"/>
                <w:szCs w:val="21"/>
                <w:highlight w:val="none"/>
              </w:rPr>
              <w:t>联系电话：</w:t>
            </w:r>
            <w:r>
              <w:rPr>
                <w:rFonts w:hint="eastAsia" w:ascii="Times New Roman" w:hAnsi="Times New Roman"/>
                <w:color w:val="auto"/>
                <w:szCs w:val="21"/>
                <w:highlight w:val="none"/>
                <w:u w:val="single"/>
              </w:rPr>
              <w:t>详见第一章“投标邀请”</w:t>
            </w:r>
          </w:p>
        </w:tc>
      </w:tr>
      <w:tr w14:paraId="7518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B0A5812">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19</w:t>
            </w:r>
          </w:p>
        </w:tc>
        <w:tc>
          <w:tcPr>
            <w:tcW w:w="1984" w:type="dxa"/>
            <w:vAlign w:val="center"/>
          </w:tcPr>
          <w:p w14:paraId="0254DEAD">
            <w:pPr>
              <w:tabs>
                <w:tab w:val="left" w:pos="1875"/>
              </w:tabs>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投标保证金</w:t>
            </w:r>
          </w:p>
        </w:tc>
        <w:tc>
          <w:tcPr>
            <w:tcW w:w="6058" w:type="dxa"/>
            <w:gridSpan w:val="2"/>
            <w:vAlign w:val="center"/>
          </w:tcPr>
          <w:p w14:paraId="3FB9FE44">
            <w:pPr>
              <w:topLinePunct/>
              <w:autoSpaceDE w:val="0"/>
              <w:autoSpaceDN w:val="0"/>
              <w:adjustRightInd w:val="0"/>
              <w:snapToGrid w:val="0"/>
              <w:spacing w:line="360" w:lineRule="auto"/>
              <w:rPr>
                <w:rFonts w:ascii="Times New Roman" w:hAnsi="Times New Roman"/>
                <w:snapToGrid w:val="0"/>
                <w:color w:val="auto"/>
                <w:szCs w:val="21"/>
                <w:highlight w:val="none"/>
                <w:lang w:val="zh-CN"/>
              </w:rPr>
            </w:pPr>
            <w:r>
              <w:rPr>
                <w:rFonts w:ascii="Times New Roman" w:hAnsi="Times New Roman"/>
                <w:color w:val="auto"/>
                <w:szCs w:val="21"/>
                <w:highlight w:val="none"/>
              </w:rPr>
              <w:sym w:font="Wingdings 2" w:char="0052"/>
            </w:r>
            <w:r>
              <w:rPr>
                <w:rFonts w:ascii="Times New Roman" w:hAnsi="Times New Roman"/>
                <w:color w:val="auto"/>
                <w:szCs w:val="21"/>
                <w:highlight w:val="none"/>
              </w:rPr>
              <w:t>不要求提供</w:t>
            </w:r>
          </w:p>
          <w:p w14:paraId="08ED770C">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color w:val="auto"/>
                <w:szCs w:val="21"/>
                <w:highlight w:val="none"/>
              </w:rPr>
              <w:sym w:font="Wingdings 2" w:char="00A3"/>
            </w:r>
            <w:r>
              <w:rPr>
                <w:rFonts w:ascii="Times New Roman" w:hAnsi="Times New Roman"/>
                <w:color w:val="auto"/>
                <w:szCs w:val="21"/>
                <w:highlight w:val="none"/>
              </w:rPr>
              <w:t>要求提供</w:t>
            </w:r>
          </w:p>
        </w:tc>
      </w:tr>
      <w:tr w14:paraId="6CFA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0CDE82F2">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84" w:type="dxa"/>
            <w:vMerge w:val="restart"/>
            <w:vAlign w:val="center"/>
          </w:tcPr>
          <w:p w14:paraId="2142A6C5">
            <w:pPr>
              <w:tabs>
                <w:tab w:val="left" w:pos="1875"/>
              </w:tabs>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不予退还投标保证金的情形</w:t>
            </w:r>
          </w:p>
        </w:tc>
        <w:tc>
          <w:tcPr>
            <w:tcW w:w="6058" w:type="dxa"/>
            <w:gridSpan w:val="2"/>
            <w:vAlign w:val="center"/>
          </w:tcPr>
          <w:p w14:paraId="378A02F6">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有下列情形之一的，投标保证金将不予退还：</w:t>
            </w:r>
          </w:p>
          <w:p w14:paraId="20479A7D">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（1）投标人串通投标或有视为串通投标情形之一的；</w:t>
            </w:r>
          </w:p>
          <w:p w14:paraId="0F1F9697">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（2）投标人提供虚假材料；</w:t>
            </w:r>
          </w:p>
          <w:p w14:paraId="38511316">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（3）投标人采取不正当手段诋毁、排挤其他投标人；</w:t>
            </w:r>
          </w:p>
          <w:p w14:paraId="1CB6BD86">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（4）投标截止时间后，投标人在投标有效期内撤销投标文件；</w:t>
            </w:r>
          </w:p>
          <w:p w14:paraId="564B6C0D">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（5）中标人有下列情形之一的：</w:t>
            </w:r>
          </w:p>
          <w:p w14:paraId="04537561">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a.除不可抗力外，因中标人自身原因未在中标通知书要求的期限内与采购人签订政府采购合同；</w:t>
            </w:r>
          </w:p>
          <w:p w14:paraId="51587EF5">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b.未按照招标文件、投标文件的约定签订政府采购合同或提交履约保证金。</w:t>
            </w:r>
          </w:p>
          <w:p w14:paraId="6FC5A06D">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注：若上述投标保证金不予退还情形给采购人（采购代理机构）造成损失，则投标人还要承担相应的赔偿责任。</w:t>
            </w:r>
          </w:p>
        </w:tc>
      </w:tr>
      <w:tr w14:paraId="3C2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05909BCD">
            <w:pPr>
              <w:adjustRightInd w:val="0"/>
              <w:snapToGrid w:val="0"/>
              <w:spacing w:line="360" w:lineRule="auto"/>
              <w:jc w:val="center"/>
              <w:rPr>
                <w:rFonts w:ascii="Times New Roman" w:hAnsi="Times New Roman"/>
                <w:color w:val="auto"/>
                <w:szCs w:val="21"/>
                <w:highlight w:val="none"/>
              </w:rPr>
            </w:pPr>
          </w:p>
        </w:tc>
        <w:tc>
          <w:tcPr>
            <w:tcW w:w="1984" w:type="dxa"/>
            <w:vMerge w:val="continue"/>
            <w:vAlign w:val="center"/>
          </w:tcPr>
          <w:p w14:paraId="1EDC54B7">
            <w:pPr>
              <w:adjustRightInd w:val="0"/>
              <w:snapToGrid w:val="0"/>
              <w:spacing w:line="360" w:lineRule="auto"/>
              <w:jc w:val="center"/>
              <w:rPr>
                <w:rFonts w:ascii="Times New Roman" w:hAnsi="Times New Roman"/>
                <w:color w:val="auto"/>
                <w:szCs w:val="21"/>
                <w:highlight w:val="none"/>
              </w:rPr>
            </w:pPr>
          </w:p>
        </w:tc>
        <w:tc>
          <w:tcPr>
            <w:tcW w:w="6058" w:type="dxa"/>
            <w:gridSpan w:val="2"/>
            <w:vAlign w:val="center"/>
          </w:tcPr>
          <w:p w14:paraId="06A6F90C">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其他不予退还投标保证金的情形：</w:t>
            </w:r>
            <w:r>
              <w:rPr>
                <w:rFonts w:hint="eastAsia" w:ascii="Times New Roman" w:hAnsi="Times New Roman"/>
                <w:color w:val="auto"/>
                <w:szCs w:val="21"/>
                <w:highlight w:val="none"/>
                <w:u w:val="single"/>
              </w:rPr>
              <w:t>无</w:t>
            </w:r>
          </w:p>
        </w:tc>
      </w:tr>
      <w:tr w14:paraId="1B3D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E675AA0">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21</w:t>
            </w:r>
          </w:p>
        </w:tc>
        <w:tc>
          <w:tcPr>
            <w:tcW w:w="1984" w:type="dxa"/>
            <w:vAlign w:val="center"/>
          </w:tcPr>
          <w:p w14:paraId="49629F38">
            <w:pPr>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信用记录审查</w:t>
            </w:r>
          </w:p>
        </w:tc>
        <w:tc>
          <w:tcPr>
            <w:tcW w:w="6058" w:type="dxa"/>
            <w:gridSpan w:val="2"/>
            <w:vAlign w:val="center"/>
          </w:tcPr>
          <w:p w14:paraId="68E6AAC7">
            <w:pPr>
              <w:topLinePunct/>
              <w:autoSpaceDE w:val="0"/>
              <w:autoSpaceDN w:val="0"/>
              <w:spacing w:line="360" w:lineRule="auto"/>
              <w:rPr>
                <w:rFonts w:ascii="Times New Roman" w:hAnsi="Times New Roman"/>
                <w:snapToGrid w:val="0"/>
                <w:color w:val="auto"/>
                <w:szCs w:val="21"/>
                <w:highlight w:val="none"/>
              </w:rPr>
            </w:pPr>
            <w:r>
              <w:rPr>
                <w:rFonts w:ascii="Times New Roman" w:hAnsi="Times New Roman"/>
                <w:color w:val="auto"/>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Times New Roman" w:hAnsi="Times New Roman"/>
                <w:color w:val="auto"/>
                <w:szCs w:val="21"/>
                <w:highlight w:val="none"/>
              </w:rPr>
              <w:t>www.ccgp.gov.cn</w:t>
            </w:r>
            <w:r>
              <w:rPr>
                <w:rFonts w:ascii="Times New Roman" w:hAnsi="Times New Roman"/>
                <w:color w:val="auto"/>
                <w:szCs w:val="21"/>
                <w:highlight w:val="none"/>
              </w:rPr>
              <w:fldChar w:fldCharType="end"/>
            </w:r>
            <w:r>
              <w:rPr>
                <w:rFonts w:ascii="Times New Roman" w:hAnsi="Times New Roman"/>
                <w:color w:val="auto"/>
                <w:szCs w:val="21"/>
                <w:highlight w:val="none"/>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14:paraId="0B3C8DE4">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本次查询的信用记录仅限于本项目使用，查询结果将留存在采购档案中。</w:t>
            </w:r>
          </w:p>
          <w:p w14:paraId="6971E840">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在上述指定网站不能查询信用信息的投标人，应提供相关证明材料（原件加盖公章）。</w:t>
            </w:r>
          </w:p>
        </w:tc>
      </w:tr>
      <w:tr w14:paraId="7D25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EE89DB6">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22</w:t>
            </w:r>
          </w:p>
        </w:tc>
        <w:tc>
          <w:tcPr>
            <w:tcW w:w="1984" w:type="dxa"/>
            <w:vAlign w:val="center"/>
          </w:tcPr>
          <w:p w14:paraId="5F13AF44">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支持中小型</w:t>
            </w:r>
          </w:p>
          <w:p w14:paraId="120877D9">
            <w:pPr>
              <w:topLinePunct/>
              <w:autoSpaceDE w:val="0"/>
              <w:autoSpaceDN w:val="0"/>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企业发展</w:t>
            </w:r>
          </w:p>
        </w:tc>
        <w:tc>
          <w:tcPr>
            <w:tcW w:w="6058" w:type="dxa"/>
            <w:gridSpan w:val="2"/>
            <w:vAlign w:val="center"/>
          </w:tcPr>
          <w:p w14:paraId="4A64F441">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根据《政府采购促进中小型企业发展管理办法》（财库〔2020〕46号），鼓励中小企业参加本项目采购活动。</w:t>
            </w:r>
          </w:p>
          <w:p w14:paraId="6B421BF9">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在货物采购项目中，满足所有标的均由中小企业制造，即所有标的均由中小企业生产且使用该中小企业商号或者注册商标的，可享受中小企业扶持政策。</w:t>
            </w:r>
          </w:p>
          <w:p w14:paraId="5B0BD3C0">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在服务采购项目中，满足服务由中小企业承接，即提供服务的人员为中小企业依照《中华人民共和国劳动合同法》订立劳动合同的从业人员的，可享受中小企业扶持政策。</w:t>
            </w:r>
          </w:p>
          <w:p w14:paraId="35E77FE2">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本项目：</w:t>
            </w:r>
          </w:p>
          <w:p w14:paraId="57F77D9F">
            <w:pPr>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专门面向中小企业采购项目。</w:t>
            </w:r>
          </w:p>
          <w:p w14:paraId="202FE2BC">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□预留份额面向中小企业采购项目（说明：</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14:paraId="4A51F833">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非专门面向中小企业采购项目。对小型和微型企业的投标价格给予</w:t>
            </w:r>
            <w:r>
              <w:rPr>
                <w:rFonts w:hint="eastAsia" w:ascii="Times New Roman" w:hAnsi="Times New Roman"/>
                <w:color w:val="auto"/>
                <w:szCs w:val="21"/>
                <w:highlight w:val="none"/>
                <w:u w:val="single"/>
              </w:rPr>
              <w:t>20</w:t>
            </w:r>
            <w:r>
              <w:rPr>
                <w:rFonts w:ascii="Times New Roman" w:hAnsi="Times New Roman"/>
                <w:color w:val="auto"/>
                <w:szCs w:val="21"/>
                <w:highlight w:val="none"/>
              </w:rPr>
              <w:t>%的扣除，用扣除后的价格参与评审。</w:t>
            </w:r>
          </w:p>
        </w:tc>
      </w:tr>
      <w:tr w14:paraId="553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361F16C">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23</w:t>
            </w:r>
          </w:p>
        </w:tc>
        <w:tc>
          <w:tcPr>
            <w:tcW w:w="1984" w:type="dxa"/>
            <w:vAlign w:val="center"/>
          </w:tcPr>
          <w:p w14:paraId="1E93D19E">
            <w:pPr>
              <w:topLinePunct/>
              <w:autoSpaceDE w:val="0"/>
              <w:autoSpaceDN w:val="0"/>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支持监狱企业发展</w:t>
            </w:r>
          </w:p>
        </w:tc>
        <w:tc>
          <w:tcPr>
            <w:tcW w:w="6058" w:type="dxa"/>
            <w:gridSpan w:val="2"/>
            <w:vAlign w:val="center"/>
          </w:tcPr>
          <w:p w14:paraId="445CD82E">
            <w:pPr>
              <w:adjustRightInd w:val="0"/>
              <w:snapToGrid w:val="0"/>
              <w:spacing w:line="360" w:lineRule="auto"/>
              <w:jc w:val="left"/>
              <w:rPr>
                <w:rFonts w:ascii="Times New Roman" w:hAnsi="Times New Roman"/>
                <w:b/>
                <w:color w:val="auto"/>
                <w:szCs w:val="21"/>
                <w:highlight w:val="none"/>
              </w:rPr>
            </w:pPr>
            <w:r>
              <w:rPr>
                <w:rFonts w:ascii="Times New Roman" w:hAnsi="Times New Roman"/>
                <w:color w:val="auto"/>
                <w:szCs w:val="21"/>
                <w:highlight w:val="none"/>
              </w:rPr>
              <w:t>根据《关于政府采购支持监狱企业发展有关问题的通知》（财库〔2014〕68号），监狱企业视同小型、微型企业，按照</w:t>
            </w:r>
            <w:r>
              <w:rPr>
                <w:rFonts w:ascii="Times New Roman" w:hAnsi="Times New Roman"/>
                <w:b/>
                <w:bCs/>
                <w:color w:val="auto"/>
                <w:szCs w:val="21"/>
                <w:highlight w:val="none"/>
              </w:rPr>
              <w:t>投标人须知前附表第22项</w:t>
            </w:r>
            <w:r>
              <w:rPr>
                <w:rFonts w:ascii="Times New Roman" w:hAnsi="Times New Roman"/>
                <w:color w:val="auto"/>
                <w:szCs w:val="21"/>
                <w:highlight w:val="none"/>
              </w:rPr>
              <w:t>享受价格扣除政策。</w:t>
            </w:r>
          </w:p>
        </w:tc>
      </w:tr>
      <w:tr w14:paraId="1620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0233289F">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24</w:t>
            </w:r>
          </w:p>
        </w:tc>
        <w:tc>
          <w:tcPr>
            <w:tcW w:w="1984" w:type="dxa"/>
            <w:vAlign w:val="center"/>
          </w:tcPr>
          <w:p w14:paraId="7ECF2F2C">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促进残疾人</w:t>
            </w:r>
          </w:p>
          <w:p w14:paraId="50798EBE">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就业</w:t>
            </w:r>
          </w:p>
        </w:tc>
        <w:tc>
          <w:tcPr>
            <w:tcW w:w="6058" w:type="dxa"/>
            <w:gridSpan w:val="2"/>
            <w:vAlign w:val="center"/>
          </w:tcPr>
          <w:p w14:paraId="49924ABE">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根据《关于促进残疾人就业政府采购政策的通知》（财库〔2017〕141号），残疾人福利性单位视同小型、微型企业，按照</w:t>
            </w:r>
            <w:r>
              <w:rPr>
                <w:rFonts w:ascii="Times New Roman" w:hAnsi="Times New Roman"/>
                <w:b/>
                <w:bCs/>
                <w:color w:val="auto"/>
                <w:szCs w:val="21"/>
                <w:highlight w:val="none"/>
              </w:rPr>
              <w:t>投标人须知前附表第22项</w:t>
            </w:r>
            <w:r>
              <w:rPr>
                <w:rFonts w:ascii="Times New Roman" w:hAnsi="Times New Roman"/>
                <w:color w:val="auto"/>
                <w:szCs w:val="21"/>
                <w:highlight w:val="none"/>
              </w:rPr>
              <w:t>享受价格扣除政策。</w:t>
            </w:r>
          </w:p>
        </w:tc>
      </w:tr>
      <w:tr w14:paraId="41C0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1C6CEC6A">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25</w:t>
            </w:r>
          </w:p>
        </w:tc>
        <w:tc>
          <w:tcPr>
            <w:tcW w:w="1984" w:type="dxa"/>
            <w:vMerge w:val="restart"/>
            <w:vAlign w:val="center"/>
          </w:tcPr>
          <w:p w14:paraId="23F18937">
            <w:pPr>
              <w:topLinePunct/>
              <w:autoSpaceDE w:val="0"/>
              <w:autoSpaceDN w:val="0"/>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其他法律法规强制性规定或扶持政策</w:t>
            </w:r>
          </w:p>
        </w:tc>
        <w:tc>
          <w:tcPr>
            <w:tcW w:w="6058" w:type="dxa"/>
            <w:gridSpan w:val="2"/>
            <w:vAlign w:val="center"/>
          </w:tcPr>
          <w:p w14:paraId="3F8AA975">
            <w:pPr>
              <w:spacing w:line="360" w:lineRule="auto"/>
              <w:rPr>
                <w:rFonts w:ascii="Times New Roman" w:hAnsi="Times New Roman"/>
                <w:color w:val="auto"/>
                <w:szCs w:val="21"/>
                <w:highlight w:val="none"/>
              </w:rPr>
            </w:pPr>
            <w:r>
              <w:rPr>
                <w:rFonts w:ascii="Times New Roman" w:hAnsi="Times New Roman"/>
                <w:color w:val="auto"/>
                <w:szCs w:val="21"/>
                <w:highlight w:val="none"/>
              </w:rPr>
              <w:t>本项目中强制采购节能产品的货物名称：</w:t>
            </w:r>
            <w:r>
              <w:rPr>
                <w:rFonts w:hint="eastAsia" w:ascii="Times New Roman" w:hAnsi="Times New Roman"/>
                <w:color w:val="auto"/>
                <w:szCs w:val="21"/>
                <w:highlight w:val="none"/>
                <w:u w:val="single"/>
              </w:rPr>
              <w:t>本项目不适用</w:t>
            </w:r>
            <w:r>
              <w:rPr>
                <w:rFonts w:ascii="Times New Roman" w:hAnsi="Times New Roman"/>
                <w:color w:val="auto"/>
                <w:szCs w:val="21"/>
                <w:highlight w:val="none"/>
              </w:rPr>
              <w:t>。</w:t>
            </w:r>
          </w:p>
          <w:p w14:paraId="5081DE42">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color w:val="auto"/>
                <w:szCs w:val="21"/>
                <w:highlight w:val="none"/>
              </w:rPr>
              <w:t>注：投标人所投上述产品必须具有节能产品认证证书，并提供依据国家确定的认证机构出具的、处于有效期之内的节能产品认证证书复印件，否则投标无效。</w:t>
            </w:r>
          </w:p>
        </w:tc>
      </w:tr>
      <w:tr w14:paraId="7E22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14A5F6EB">
            <w:pPr>
              <w:topLinePunct/>
              <w:autoSpaceDE w:val="0"/>
              <w:autoSpaceDN w:val="0"/>
              <w:adjustRightInd w:val="0"/>
              <w:snapToGrid w:val="0"/>
              <w:spacing w:before="62" w:after="62" w:line="360" w:lineRule="auto"/>
              <w:jc w:val="center"/>
              <w:rPr>
                <w:rFonts w:ascii="Times New Roman" w:hAnsi="Times New Roman"/>
                <w:color w:val="auto"/>
                <w:szCs w:val="21"/>
                <w:highlight w:val="none"/>
              </w:rPr>
            </w:pPr>
          </w:p>
        </w:tc>
        <w:tc>
          <w:tcPr>
            <w:tcW w:w="1984" w:type="dxa"/>
            <w:vMerge w:val="continue"/>
            <w:vAlign w:val="center"/>
          </w:tcPr>
          <w:p w14:paraId="34D2938E">
            <w:pPr>
              <w:topLinePunct/>
              <w:autoSpaceDE w:val="0"/>
              <w:autoSpaceDN w:val="0"/>
              <w:adjustRightInd w:val="0"/>
              <w:snapToGrid w:val="0"/>
              <w:spacing w:line="360" w:lineRule="auto"/>
              <w:jc w:val="center"/>
              <w:rPr>
                <w:rFonts w:ascii="Times New Roman" w:hAnsi="Times New Roman"/>
                <w:color w:val="auto"/>
                <w:szCs w:val="21"/>
                <w:highlight w:val="none"/>
              </w:rPr>
            </w:pPr>
          </w:p>
        </w:tc>
        <w:tc>
          <w:tcPr>
            <w:tcW w:w="6058" w:type="dxa"/>
            <w:gridSpan w:val="2"/>
            <w:vAlign w:val="center"/>
          </w:tcPr>
          <w:p w14:paraId="2884C927">
            <w:pPr>
              <w:spacing w:line="360" w:lineRule="auto"/>
              <w:rPr>
                <w:rFonts w:ascii="Times New Roman" w:hAnsi="Times New Roman"/>
                <w:color w:val="auto"/>
                <w:szCs w:val="21"/>
                <w:highlight w:val="none"/>
              </w:rPr>
            </w:pPr>
            <w:r>
              <w:rPr>
                <w:rFonts w:ascii="Times New Roman" w:hAnsi="Times New Roman"/>
                <w:color w:val="auto"/>
                <w:szCs w:val="21"/>
                <w:highlight w:val="none"/>
              </w:rPr>
              <w:t>本项目中采购信息安全产品的货物名称：</w:t>
            </w:r>
            <w:r>
              <w:rPr>
                <w:rFonts w:hint="eastAsia" w:ascii="Times New Roman" w:hAnsi="Times New Roman"/>
                <w:color w:val="auto"/>
                <w:szCs w:val="21"/>
                <w:highlight w:val="none"/>
                <w:u w:val="single"/>
              </w:rPr>
              <w:t>本项目不适用</w:t>
            </w:r>
          </w:p>
          <w:p w14:paraId="6014926E">
            <w:pPr>
              <w:topLinePunct/>
              <w:autoSpaceDE w:val="0"/>
              <w:autoSpaceDN w:val="0"/>
              <w:adjustRightInd w:val="0"/>
              <w:snapToGrid w:val="0"/>
              <w:spacing w:line="360" w:lineRule="auto"/>
              <w:rPr>
                <w:rFonts w:ascii="Times New Roman" w:hAnsi="Times New Roman"/>
                <w:b/>
                <w:color w:val="auto"/>
                <w:szCs w:val="21"/>
                <w:highlight w:val="none"/>
              </w:rPr>
            </w:pPr>
            <w:r>
              <w:rPr>
                <w:rFonts w:ascii="Times New Roman" w:hAnsi="Times New Roman"/>
                <w:color w:val="auto"/>
                <w:szCs w:val="21"/>
                <w:highlight w:val="none"/>
              </w:rPr>
              <w:t>注：投标人所投上述产品需为国家认证的信息安全产品，并提供由中国网络安全审查技术与认证中心（原中国信息安全认证中心）按国家标准认证颁发的有效认证证书复印件，否则投标无效。</w:t>
            </w:r>
          </w:p>
        </w:tc>
      </w:tr>
      <w:tr w14:paraId="3D05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1A115F5C">
            <w:pPr>
              <w:topLinePunct/>
              <w:autoSpaceDE w:val="0"/>
              <w:autoSpaceDN w:val="0"/>
              <w:adjustRightInd w:val="0"/>
              <w:snapToGrid w:val="0"/>
              <w:spacing w:line="360" w:lineRule="auto"/>
              <w:jc w:val="center"/>
              <w:rPr>
                <w:rFonts w:ascii="Times New Roman" w:hAnsi="Times New Roman"/>
                <w:color w:val="auto"/>
                <w:szCs w:val="21"/>
                <w:highlight w:val="none"/>
              </w:rPr>
            </w:pPr>
          </w:p>
        </w:tc>
        <w:tc>
          <w:tcPr>
            <w:tcW w:w="1984" w:type="dxa"/>
            <w:vMerge w:val="continue"/>
            <w:vAlign w:val="center"/>
          </w:tcPr>
          <w:p w14:paraId="74CC4B80">
            <w:pPr>
              <w:topLinePunct/>
              <w:autoSpaceDE w:val="0"/>
              <w:autoSpaceDN w:val="0"/>
              <w:adjustRightInd w:val="0"/>
              <w:snapToGrid w:val="0"/>
              <w:spacing w:line="360" w:lineRule="auto"/>
              <w:jc w:val="center"/>
              <w:rPr>
                <w:rFonts w:ascii="Times New Roman" w:hAnsi="Times New Roman"/>
                <w:color w:val="auto"/>
                <w:szCs w:val="21"/>
                <w:highlight w:val="none"/>
              </w:rPr>
            </w:pPr>
          </w:p>
        </w:tc>
        <w:tc>
          <w:tcPr>
            <w:tcW w:w="6058" w:type="dxa"/>
            <w:gridSpan w:val="2"/>
            <w:vAlign w:val="center"/>
          </w:tcPr>
          <w:p w14:paraId="5F15F882">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其他法律法规强制性规定或扶持政策：</w:t>
            </w:r>
          </w:p>
          <w:p w14:paraId="78938BAE">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采购包1：</w:t>
            </w:r>
            <w:r>
              <w:rPr>
                <w:rFonts w:hint="eastAsia" w:ascii="Times New Roman" w:hAnsi="Times New Roman"/>
                <w:color w:val="auto"/>
                <w:szCs w:val="21"/>
                <w:highlight w:val="none"/>
                <w:u w:val="single"/>
              </w:rPr>
              <w:t>无</w:t>
            </w:r>
            <w:r>
              <w:rPr>
                <w:rFonts w:ascii="Times New Roman" w:hAnsi="Times New Roman"/>
                <w:color w:val="auto"/>
                <w:szCs w:val="21"/>
                <w:highlight w:val="none"/>
              </w:rPr>
              <w:t>。</w:t>
            </w:r>
          </w:p>
        </w:tc>
      </w:tr>
      <w:tr w14:paraId="6941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8258866">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26</w:t>
            </w:r>
          </w:p>
        </w:tc>
        <w:tc>
          <w:tcPr>
            <w:tcW w:w="1984" w:type="dxa"/>
            <w:vAlign w:val="center"/>
          </w:tcPr>
          <w:p w14:paraId="193E73C8">
            <w:pPr>
              <w:tabs>
                <w:tab w:val="left" w:pos="1875"/>
              </w:tabs>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评标方法</w:t>
            </w:r>
          </w:p>
          <w:p w14:paraId="79A3EC66">
            <w:pPr>
              <w:tabs>
                <w:tab w:val="left" w:pos="1875"/>
              </w:tabs>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及分值</w:t>
            </w:r>
          </w:p>
        </w:tc>
        <w:tc>
          <w:tcPr>
            <w:tcW w:w="6058" w:type="dxa"/>
            <w:gridSpan w:val="2"/>
            <w:vAlign w:val="center"/>
          </w:tcPr>
          <w:p w14:paraId="49938309">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F0A3"/>
            </w:r>
            <w:r>
              <w:rPr>
                <w:rFonts w:ascii="Times New Roman" w:hAnsi="Times New Roman"/>
                <w:color w:val="auto"/>
                <w:szCs w:val="21"/>
                <w:highlight w:val="none"/>
              </w:rPr>
              <w:t>本项目采用最低评标价法，详见招标文件商务部分第三章。</w:t>
            </w:r>
          </w:p>
          <w:p w14:paraId="5DFCF8EF">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本项目采用综合评分法，其中价格分值为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10</w:t>
            </w:r>
            <w:r>
              <w:rPr>
                <w:rFonts w:ascii="Times New Roman" w:hAnsi="Times New Roman"/>
                <w:color w:val="auto"/>
                <w:szCs w:val="21"/>
                <w:highlight w:val="none"/>
                <w:u w:val="single"/>
              </w:rPr>
              <w:t xml:space="preserve"> </w:t>
            </w:r>
            <w:r>
              <w:rPr>
                <w:rFonts w:ascii="Times New Roman" w:hAnsi="Times New Roman"/>
                <w:color w:val="auto"/>
                <w:szCs w:val="21"/>
                <w:highlight w:val="none"/>
              </w:rPr>
              <w:t>分，其他因素分值为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90</w:t>
            </w:r>
            <w:r>
              <w:rPr>
                <w:rFonts w:ascii="Times New Roman" w:hAnsi="Times New Roman"/>
                <w:color w:val="auto"/>
                <w:szCs w:val="21"/>
                <w:highlight w:val="none"/>
                <w:u w:val="single"/>
              </w:rPr>
              <w:t xml:space="preserve"> </w:t>
            </w:r>
            <w:r>
              <w:rPr>
                <w:rFonts w:ascii="Times New Roman" w:hAnsi="Times New Roman"/>
                <w:color w:val="auto"/>
                <w:szCs w:val="21"/>
                <w:highlight w:val="none"/>
              </w:rPr>
              <w:t>分，详见招标文件商务部分第三章。</w:t>
            </w:r>
          </w:p>
        </w:tc>
      </w:tr>
      <w:tr w14:paraId="1DA6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998F43A">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27</w:t>
            </w:r>
          </w:p>
        </w:tc>
        <w:tc>
          <w:tcPr>
            <w:tcW w:w="1984" w:type="dxa"/>
            <w:vAlign w:val="center"/>
          </w:tcPr>
          <w:p w14:paraId="0DB7F55B">
            <w:pPr>
              <w:topLinePunct/>
              <w:autoSpaceDE w:val="0"/>
              <w:autoSpaceDN w:val="0"/>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履约保证金</w:t>
            </w:r>
          </w:p>
        </w:tc>
        <w:tc>
          <w:tcPr>
            <w:tcW w:w="6058" w:type="dxa"/>
            <w:gridSpan w:val="2"/>
            <w:vAlign w:val="center"/>
          </w:tcPr>
          <w:p w14:paraId="64CC9857">
            <w:pPr>
              <w:adjustRightInd w:val="0"/>
              <w:snapToGrid w:val="0"/>
              <w:spacing w:line="360" w:lineRule="auto"/>
              <w:jc w:val="left"/>
              <w:rPr>
                <w:rFonts w:ascii="Times New Roman" w:hAnsi="Times New Roman"/>
                <w:b/>
                <w:color w:val="auto"/>
                <w:szCs w:val="21"/>
                <w:highlight w:val="none"/>
              </w:rPr>
            </w:pPr>
            <w:r>
              <w:rPr>
                <w:rFonts w:ascii="Times New Roman" w:hAnsi="Times New Roman"/>
                <w:color w:val="auto"/>
                <w:szCs w:val="21"/>
                <w:highlight w:val="none"/>
              </w:rPr>
              <w:sym w:font="Wingdings 2" w:char="0052"/>
            </w:r>
            <w:r>
              <w:rPr>
                <w:rFonts w:ascii="Times New Roman" w:hAnsi="Times New Roman"/>
                <w:color w:val="auto"/>
                <w:szCs w:val="21"/>
                <w:highlight w:val="none"/>
              </w:rPr>
              <w:t>不要求提供</w:t>
            </w:r>
          </w:p>
        </w:tc>
      </w:tr>
      <w:tr w14:paraId="6662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8A2015E">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28</w:t>
            </w:r>
          </w:p>
        </w:tc>
        <w:tc>
          <w:tcPr>
            <w:tcW w:w="1984" w:type="dxa"/>
            <w:vAlign w:val="center"/>
          </w:tcPr>
          <w:p w14:paraId="447BD80B">
            <w:pPr>
              <w:topLinePunct/>
              <w:autoSpaceDE w:val="0"/>
              <w:autoSpaceDN w:val="0"/>
              <w:adjustRightInd w:val="0"/>
              <w:snapToGrid w:val="0"/>
              <w:spacing w:line="360" w:lineRule="auto"/>
              <w:jc w:val="center"/>
              <w:rPr>
                <w:rFonts w:ascii="Times New Roman" w:hAnsi="Times New Roman"/>
                <w:b/>
                <w:color w:val="auto"/>
                <w:szCs w:val="21"/>
                <w:highlight w:val="none"/>
              </w:rPr>
            </w:pPr>
            <w:r>
              <w:rPr>
                <w:rFonts w:ascii="Times New Roman" w:hAnsi="Times New Roman"/>
                <w:color w:val="auto"/>
                <w:szCs w:val="21"/>
                <w:highlight w:val="none"/>
              </w:rPr>
              <w:t>接收质疑的方式、部门、电话和通讯地址</w:t>
            </w:r>
          </w:p>
        </w:tc>
        <w:tc>
          <w:tcPr>
            <w:tcW w:w="6058" w:type="dxa"/>
            <w:gridSpan w:val="2"/>
            <w:vAlign w:val="center"/>
          </w:tcPr>
          <w:p w14:paraId="43E7C0A4">
            <w:pPr>
              <w:spacing w:line="360" w:lineRule="auto"/>
              <w:rPr>
                <w:rFonts w:ascii="Times New Roman" w:hAnsi="Times New Roman"/>
                <w:color w:val="auto"/>
                <w:szCs w:val="21"/>
                <w:highlight w:val="none"/>
              </w:rPr>
            </w:pPr>
            <w:r>
              <w:rPr>
                <w:rFonts w:ascii="Times New Roman" w:hAnsi="Times New Roman"/>
                <w:color w:val="auto"/>
                <w:szCs w:val="21"/>
                <w:highlight w:val="none"/>
              </w:rPr>
              <w:t>质疑联系方式：</w:t>
            </w:r>
          </w:p>
          <w:p w14:paraId="20E637FE">
            <w:pPr>
              <w:spacing w:line="360" w:lineRule="auto"/>
              <w:rPr>
                <w:rFonts w:ascii="Times New Roman" w:hAnsi="Times New Roman"/>
                <w:color w:val="auto"/>
                <w:szCs w:val="21"/>
                <w:highlight w:val="none"/>
                <w:u w:val="single"/>
              </w:rPr>
            </w:pPr>
            <w:r>
              <w:rPr>
                <w:rFonts w:ascii="Times New Roman" w:hAnsi="Times New Roman"/>
                <w:color w:val="auto"/>
                <w:szCs w:val="21"/>
                <w:highlight w:val="none"/>
              </w:rPr>
              <w:t>（1）接收质疑函的方式：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纸质原件递交</w:t>
            </w:r>
            <w:r>
              <w:rPr>
                <w:rFonts w:ascii="Times New Roman" w:hAnsi="Times New Roman"/>
                <w:color w:val="auto"/>
                <w:szCs w:val="21"/>
                <w:highlight w:val="none"/>
                <w:u w:val="single"/>
              </w:rPr>
              <w:t xml:space="preserve">  </w:t>
            </w:r>
          </w:p>
          <w:p w14:paraId="68B8C63D">
            <w:pPr>
              <w:spacing w:line="360" w:lineRule="auto"/>
              <w:rPr>
                <w:rFonts w:ascii="Times New Roman" w:hAnsi="Times New Roman"/>
                <w:color w:val="auto"/>
                <w:szCs w:val="21"/>
                <w:highlight w:val="none"/>
                <w:u w:val="single"/>
              </w:rPr>
            </w:pPr>
            <w:r>
              <w:rPr>
                <w:rFonts w:ascii="Times New Roman" w:hAnsi="Times New Roman"/>
                <w:color w:val="auto"/>
                <w:szCs w:val="21"/>
                <w:highlight w:val="none"/>
              </w:rPr>
              <w:t>（2）联系部门：</w:t>
            </w:r>
            <w:r>
              <w:rPr>
                <w:rFonts w:ascii="Times New Roman" w:hAnsi="Times New Roman"/>
                <w:color w:val="auto"/>
                <w:szCs w:val="21"/>
                <w:highlight w:val="none"/>
                <w:u w:val="single"/>
              </w:rPr>
              <w:t xml:space="preserve">  福建省福瑞工程管理有限公司  </w:t>
            </w:r>
          </w:p>
          <w:p w14:paraId="195B9072">
            <w:pPr>
              <w:spacing w:line="360" w:lineRule="auto"/>
              <w:rPr>
                <w:rFonts w:ascii="Times New Roman" w:hAnsi="Times New Roman"/>
                <w:color w:val="auto"/>
                <w:szCs w:val="21"/>
                <w:highlight w:val="none"/>
                <w:u w:val="single"/>
              </w:rPr>
            </w:pPr>
            <w:r>
              <w:rPr>
                <w:rFonts w:ascii="Times New Roman" w:hAnsi="Times New Roman"/>
                <w:color w:val="auto"/>
                <w:szCs w:val="21"/>
                <w:highlight w:val="none"/>
              </w:rPr>
              <w:t>（3）联系电话：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0591-86215533</w:t>
            </w:r>
            <w:r>
              <w:rPr>
                <w:rFonts w:ascii="Times New Roman" w:hAnsi="Times New Roman"/>
                <w:color w:val="auto"/>
                <w:szCs w:val="21"/>
                <w:highlight w:val="none"/>
                <w:u w:val="single"/>
              </w:rPr>
              <w:t xml:space="preserve">   </w:t>
            </w:r>
          </w:p>
          <w:p w14:paraId="223C6B9F">
            <w:pPr>
              <w:spacing w:line="360" w:lineRule="auto"/>
              <w:rPr>
                <w:rFonts w:ascii="Times New Roman" w:hAnsi="Times New Roman"/>
                <w:color w:val="auto"/>
                <w:szCs w:val="21"/>
                <w:highlight w:val="none"/>
                <w:u w:val="single"/>
              </w:rPr>
            </w:pPr>
            <w:r>
              <w:rPr>
                <w:rFonts w:ascii="Times New Roman" w:hAnsi="Times New Roman"/>
                <w:color w:val="auto"/>
                <w:szCs w:val="21"/>
                <w:highlight w:val="none"/>
              </w:rPr>
              <w:t>（4）通讯地址：</w:t>
            </w:r>
            <w:r>
              <w:rPr>
                <w:rFonts w:ascii="Times New Roman" w:hAnsi="Times New Roman"/>
                <w:color w:val="auto"/>
                <w:szCs w:val="21"/>
                <w:highlight w:val="none"/>
                <w:u w:val="single"/>
              </w:rPr>
              <w:t xml:space="preserve">福州市鼓楼区湖滨路66号中福西湖花园1号楼A区2层  </w:t>
            </w:r>
          </w:p>
          <w:p w14:paraId="28CDCA6C">
            <w:pPr>
              <w:spacing w:line="360" w:lineRule="auto"/>
              <w:rPr>
                <w:rFonts w:ascii="Times New Roman" w:hAnsi="Times New Roman"/>
                <w:color w:val="auto"/>
                <w:szCs w:val="21"/>
                <w:highlight w:val="none"/>
              </w:rPr>
            </w:pPr>
            <w:r>
              <w:rPr>
                <w:rFonts w:ascii="Times New Roman" w:hAnsi="Times New Roman"/>
                <w:color w:val="auto"/>
                <w:szCs w:val="21"/>
                <w:highlight w:val="none"/>
              </w:rPr>
              <w:t>（5）电子邮箱：</w:t>
            </w:r>
            <w:r>
              <w:rPr>
                <w:rFonts w:ascii="Times New Roman" w:hAnsi="Times New Roman"/>
                <w:color w:val="auto"/>
                <w:szCs w:val="21"/>
                <w:highlight w:val="none"/>
                <w:u w:val="single"/>
              </w:rPr>
              <w:t xml:space="preserve">  fjfrzb@163.com  </w:t>
            </w:r>
          </w:p>
        </w:tc>
      </w:tr>
      <w:tr w14:paraId="1D04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1227FEFE">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29</w:t>
            </w:r>
          </w:p>
        </w:tc>
        <w:tc>
          <w:tcPr>
            <w:tcW w:w="1984" w:type="dxa"/>
            <w:vAlign w:val="center"/>
          </w:tcPr>
          <w:p w14:paraId="0B762B05">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需提交的投标文件份数</w:t>
            </w:r>
          </w:p>
        </w:tc>
        <w:tc>
          <w:tcPr>
            <w:tcW w:w="6058" w:type="dxa"/>
            <w:gridSpan w:val="2"/>
            <w:vAlign w:val="center"/>
          </w:tcPr>
          <w:p w14:paraId="0FBC8734">
            <w:pPr>
              <w:spacing w:line="360" w:lineRule="auto"/>
              <w:rPr>
                <w:rFonts w:ascii="Times New Roman" w:hAnsi="Times New Roman"/>
                <w:color w:val="auto"/>
                <w:szCs w:val="21"/>
                <w:highlight w:val="none"/>
              </w:rPr>
            </w:pPr>
            <w:r>
              <w:rPr>
                <w:rFonts w:ascii="Times New Roman" w:hAnsi="Times New Roman"/>
                <w:color w:val="auto"/>
                <w:szCs w:val="21"/>
                <w:highlight w:val="none"/>
              </w:rPr>
              <w:t>需提交的投标文件份数：</w:t>
            </w:r>
          </w:p>
          <w:p w14:paraId="2D832468">
            <w:pPr>
              <w:spacing w:line="360" w:lineRule="auto"/>
              <w:rPr>
                <w:rFonts w:ascii="Times New Roman" w:hAnsi="Times New Roman"/>
                <w:color w:val="auto"/>
                <w:szCs w:val="21"/>
                <w:highlight w:val="none"/>
              </w:rPr>
            </w:pPr>
            <w:r>
              <w:rPr>
                <w:rFonts w:ascii="Times New Roman" w:hAnsi="Times New Roman"/>
                <w:color w:val="auto"/>
                <w:szCs w:val="21"/>
                <w:highlight w:val="none"/>
              </w:rPr>
              <w:t>（1）正本</w:t>
            </w:r>
            <w:r>
              <w:rPr>
                <w:rFonts w:ascii="Times New Roman" w:hAnsi="Times New Roman"/>
                <w:color w:val="auto"/>
                <w:szCs w:val="21"/>
                <w:highlight w:val="none"/>
                <w:u w:val="single"/>
              </w:rPr>
              <w:t>1</w:t>
            </w:r>
            <w:r>
              <w:rPr>
                <w:rFonts w:ascii="Times New Roman" w:hAnsi="Times New Roman"/>
                <w:color w:val="auto"/>
                <w:szCs w:val="21"/>
                <w:highlight w:val="none"/>
              </w:rPr>
              <w:t>份、副本</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7</w:t>
            </w:r>
            <w:r>
              <w:rPr>
                <w:rFonts w:ascii="Times New Roman" w:hAnsi="Times New Roman"/>
                <w:color w:val="auto"/>
                <w:szCs w:val="21"/>
                <w:highlight w:val="none"/>
                <w:u w:val="single"/>
              </w:rPr>
              <w:t xml:space="preserve"> </w:t>
            </w:r>
            <w:r>
              <w:rPr>
                <w:rFonts w:ascii="Times New Roman" w:hAnsi="Times New Roman"/>
                <w:color w:val="auto"/>
                <w:szCs w:val="21"/>
                <w:highlight w:val="none"/>
              </w:rPr>
              <w:t>份。</w:t>
            </w:r>
          </w:p>
          <w:p w14:paraId="39CC7867">
            <w:pPr>
              <w:spacing w:line="360" w:lineRule="auto"/>
              <w:rPr>
                <w:rFonts w:ascii="Times New Roman" w:hAnsi="Times New Roman"/>
                <w:color w:val="auto"/>
                <w:szCs w:val="21"/>
                <w:highlight w:val="none"/>
              </w:rPr>
            </w:pPr>
            <w:r>
              <w:rPr>
                <w:rFonts w:ascii="Times New Roman" w:hAnsi="Times New Roman"/>
                <w:color w:val="auto"/>
                <w:szCs w:val="21"/>
                <w:highlight w:val="none"/>
              </w:rPr>
              <w:t>（2）电子文件</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1</w:t>
            </w:r>
            <w:r>
              <w:rPr>
                <w:rFonts w:ascii="Times New Roman" w:hAnsi="Times New Roman"/>
                <w:color w:val="auto"/>
                <w:szCs w:val="21"/>
                <w:highlight w:val="none"/>
                <w:u w:val="single"/>
              </w:rPr>
              <w:t xml:space="preserve"> </w:t>
            </w:r>
            <w:r>
              <w:rPr>
                <w:rFonts w:ascii="Times New Roman" w:hAnsi="Times New Roman"/>
                <w:color w:val="auto"/>
                <w:szCs w:val="21"/>
                <w:highlight w:val="none"/>
              </w:rPr>
              <w:t>份（</w:t>
            </w:r>
            <w:r>
              <w:rPr>
                <w:rFonts w:hint="eastAsia" w:ascii="Times New Roman" w:hAnsi="Times New Roman"/>
                <w:color w:val="auto"/>
                <w:szCs w:val="21"/>
                <w:highlight w:val="none"/>
              </w:rPr>
              <w:t>☑</w:t>
            </w:r>
            <w:r>
              <w:rPr>
                <w:rFonts w:ascii="Times New Roman" w:hAnsi="Times New Roman"/>
                <w:color w:val="auto"/>
                <w:szCs w:val="21"/>
                <w:highlight w:val="none"/>
              </w:rPr>
              <w:t>扫描件</w:t>
            </w:r>
            <w:r>
              <w:rPr>
                <w:rFonts w:hint="eastAsia" w:ascii="Times New Roman" w:hAnsi="Times New Roman"/>
                <w:color w:val="auto"/>
                <w:szCs w:val="21"/>
                <w:highlight w:val="none"/>
              </w:rPr>
              <w:t>：</w:t>
            </w:r>
            <w:r>
              <w:rPr>
                <w:color w:val="auto"/>
                <w:spacing w:val="5"/>
                <w:highlight w:val="none"/>
              </w:rPr>
              <w:t>提供签字、盖章后</w:t>
            </w:r>
            <w:r>
              <w:rPr>
                <w:color w:val="auto"/>
                <w:spacing w:val="4"/>
                <w:highlight w:val="none"/>
              </w:rPr>
              <w:t>的扫描件</w:t>
            </w: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Word）。</w:t>
            </w:r>
          </w:p>
          <w:p w14:paraId="3CD923C6">
            <w:pPr>
              <w:spacing w:line="360" w:lineRule="auto"/>
              <w:rPr>
                <w:rFonts w:ascii="Times New Roman" w:hAnsi="Times New Roman"/>
                <w:color w:val="auto"/>
                <w:szCs w:val="21"/>
                <w:highlight w:val="none"/>
              </w:rPr>
            </w:pPr>
            <w:r>
              <w:rPr>
                <w:rFonts w:ascii="Times New Roman" w:hAnsi="Times New Roman"/>
                <w:color w:val="auto"/>
                <w:szCs w:val="21"/>
                <w:highlight w:val="none"/>
              </w:rPr>
              <w:t>采用光盘或U盘刻录提交。</w:t>
            </w:r>
          </w:p>
        </w:tc>
      </w:tr>
      <w:tr w14:paraId="4CC3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8FD842C">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30</w:t>
            </w:r>
          </w:p>
        </w:tc>
        <w:tc>
          <w:tcPr>
            <w:tcW w:w="1984" w:type="dxa"/>
            <w:vAlign w:val="center"/>
          </w:tcPr>
          <w:p w14:paraId="1826F343">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代理费用</w:t>
            </w:r>
          </w:p>
        </w:tc>
        <w:tc>
          <w:tcPr>
            <w:tcW w:w="6058" w:type="dxa"/>
            <w:gridSpan w:val="2"/>
            <w:vAlign w:val="center"/>
          </w:tcPr>
          <w:p w14:paraId="088A1488">
            <w:pPr>
              <w:spacing w:line="360" w:lineRule="auto"/>
              <w:rPr>
                <w:rFonts w:ascii="Times New Roman" w:hAnsi="Times New Roman"/>
                <w:color w:val="auto"/>
                <w:szCs w:val="21"/>
                <w:highlight w:val="none"/>
              </w:rPr>
            </w:pPr>
            <w:r>
              <w:rPr>
                <w:rFonts w:ascii="Times New Roman" w:hAnsi="Times New Roman"/>
                <w:color w:val="auto"/>
                <w:szCs w:val="21"/>
                <w:highlight w:val="none"/>
              </w:rPr>
              <w:t>代理费用：</w:t>
            </w:r>
          </w:p>
          <w:p w14:paraId="4FE72276">
            <w:pPr>
              <w:spacing w:line="360" w:lineRule="auto"/>
              <w:rPr>
                <w:rFonts w:ascii="Times New Roman" w:hAnsi="Times New Roman"/>
                <w:color w:val="auto"/>
                <w:szCs w:val="21"/>
                <w:highlight w:val="none"/>
              </w:rPr>
            </w:pPr>
            <w:r>
              <w:rPr>
                <w:rFonts w:ascii="Times New Roman" w:hAnsi="Times New Roman"/>
                <w:color w:val="auto"/>
                <w:szCs w:val="21"/>
                <w:highlight w:val="none"/>
              </w:rPr>
              <w:t>（1）本项目代理费用由</w:t>
            </w:r>
            <w:r>
              <w:rPr>
                <w:rFonts w:ascii="Times New Roman" w:hAnsi="Times New Roman"/>
                <w:color w:val="auto"/>
                <w:szCs w:val="21"/>
                <w:highlight w:val="none"/>
                <w:u w:val="single"/>
              </w:rPr>
              <w:t>（中标人）</w:t>
            </w:r>
            <w:r>
              <w:rPr>
                <w:rFonts w:ascii="Times New Roman" w:hAnsi="Times New Roman"/>
                <w:color w:val="auto"/>
                <w:szCs w:val="21"/>
                <w:highlight w:val="none"/>
              </w:rPr>
              <w:t>支付。</w:t>
            </w:r>
          </w:p>
          <w:p w14:paraId="334D7236">
            <w:pPr>
              <w:spacing w:line="360" w:lineRule="auto"/>
              <w:rPr>
                <w:rFonts w:ascii="Times New Roman" w:hAnsi="Times New Roman"/>
                <w:color w:val="auto"/>
                <w:szCs w:val="21"/>
                <w:highlight w:val="none"/>
              </w:rPr>
            </w:pPr>
            <w:r>
              <w:rPr>
                <w:rFonts w:ascii="Times New Roman" w:hAnsi="Times New Roman"/>
                <w:color w:val="auto"/>
                <w:szCs w:val="21"/>
                <w:highlight w:val="none"/>
              </w:rPr>
              <w:t>（2）代理费用收取方式及标准：代理服务费以中标金额为基数按差额定率累进法计算向中标人收取，收费费率标准</w:t>
            </w:r>
            <w:r>
              <w:rPr>
                <w:rFonts w:hint="eastAsia" w:ascii="Times New Roman" w:hAnsi="Times New Roman"/>
                <w:color w:val="auto"/>
                <w:szCs w:val="21"/>
                <w:highlight w:val="none"/>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2916"/>
            </w:tblGrid>
            <w:tr w14:paraId="1ED8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649D73F9">
                  <w:pPr>
                    <w:ind w:firstLine="1470" w:firstLineChars="700"/>
                    <w:rPr>
                      <w:rFonts w:hint="eastAsia" w:ascii="宋体" w:hAnsi="宋体" w:cs="宋体"/>
                      <w:color w:val="auto"/>
                      <w:highlight w:val="none"/>
                    </w:rPr>
                  </w:pPr>
                  <w:r>
                    <w:rPr>
                      <w:rFonts w:hint="eastAsia" w:ascii="宋体" w:hAnsi="宋体" w:cs="宋体"/>
                      <w:color w:val="auto"/>
                      <w:highlight w:val="none"/>
                    </w:rPr>
                    <w:t>费率</w:t>
                  </w:r>
                </w:p>
                <w:p w14:paraId="7EF6A05F">
                  <w:pPr>
                    <w:rPr>
                      <w:rFonts w:hint="eastAsia" w:ascii="宋体" w:hAnsi="宋体" w:cs="宋体"/>
                      <w:color w:val="auto"/>
                      <w:highlight w:val="none"/>
                    </w:rPr>
                  </w:pPr>
                  <w:r>
                    <w:rPr>
                      <w:rFonts w:hint="eastAsia" w:ascii="宋体" w:hAnsi="宋体" w:cs="宋体"/>
                      <w:color w:val="auto"/>
                      <w:highlight w:val="none"/>
                    </w:rPr>
                    <w:t>中标金额</w:t>
                  </w:r>
                </w:p>
              </w:tc>
              <w:tc>
                <w:tcPr>
                  <w:tcW w:w="2500" w:type="pct"/>
                  <w:vAlign w:val="center"/>
                </w:tcPr>
                <w:p w14:paraId="7A864B65">
                  <w:pPr>
                    <w:jc w:val="center"/>
                    <w:rPr>
                      <w:rFonts w:hint="eastAsia" w:ascii="宋体" w:hAnsi="宋体" w:cs="宋体"/>
                      <w:color w:val="auto"/>
                      <w:highlight w:val="none"/>
                    </w:rPr>
                  </w:pPr>
                  <w:r>
                    <w:rPr>
                      <w:rFonts w:hint="eastAsia" w:ascii="宋体" w:hAnsi="宋体" w:cs="宋体"/>
                      <w:color w:val="auto"/>
                      <w:highlight w:val="none"/>
                    </w:rPr>
                    <w:t>服务</w:t>
                  </w:r>
                </w:p>
              </w:tc>
            </w:tr>
            <w:tr w14:paraId="06EF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1C3532FC">
                  <w:pPr>
                    <w:rPr>
                      <w:rFonts w:hint="eastAsia" w:ascii="宋体" w:hAnsi="宋体" w:cs="宋体"/>
                      <w:color w:val="auto"/>
                      <w:highlight w:val="none"/>
                    </w:rPr>
                  </w:pPr>
                  <w:r>
                    <w:rPr>
                      <w:rFonts w:hint="eastAsia" w:ascii="宋体" w:hAnsi="宋体" w:cs="宋体"/>
                      <w:color w:val="auto"/>
                      <w:highlight w:val="none"/>
                    </w:rPr>
                    <w:t>100万元以下</w:t>
                  </w:r>
                </w:p>
              </w:tc>
              <w:tc>
                <w:tcPr>
                  <w:tcW w:w="2500" w:type="pct"/>
                  <w:vAlign w:val="center"/>
                </w:tcPr>
                <w:p w14:paraId="26D41BBE">
                  <w:pPr>
                    <w:jc w:val="center"/>
                    <w:rPr>
                      <w:rFonts w:hint="eastAsia" w:ascii="宋体" w:hAnsi="宋体" w:cs="宋体"/>
                      <w:color w:val="auto"/>
                      <w:highlight w:val="none"/>
                    </w:rPr>
                  </w:pPr>
                  <w:r>
                    <w:rPr>
                      <w:rFonts w:hint="eastAsia" w:ascii="宋体" w:hAnsi="宋体" w:cs="宋体"/>
                      <w:color w:val="auto"/>
                      <w:highlight w:val="none"/>
                    </w:rPr>
                    <w:t>1.5%</w:t>
                  </w:r>
                </w:p>
              </w:tc>
            </w:tr>
            <w:tr w14:paraId="753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0ACC5B26">
                  <w:pPr>
                    <w:rPr>
                      <w:rFonts w:hint="eastAsia" w:ascii="宋体" w:hAnsi="宋体" w:cs="宋体"/>
                      <w:color w:val="auto"/>
                      <w:highlight w:val="none"/>
                    </w:rPr>
                  </w:pPr>
                  <w:r>
                    <w:rPr>
                      <w:rFonts w:hint="eastAsia" w:ascii="宋体" w:hAnsi="宋体" w:cs="宋体"/>
                      <w:color w:val="auto"/>
                      <w:highlight w:val="none"/>
                    </w:rPr>
                    <w:t>100~500万元</w:t>
                  </w:r>
                </w:p>
              </w:tc>
              <w:tc>
                <w:tcPr>
                  <w:tcW w:w="2500" w:type="pct"/>
                  <w:vAlign w:val="center"/>
                </w:tcPr>
                <w:p w14:paraId="0C6021CB">
                  <w:pPr>
                    <w:jc w:val="center"/>
                    <w:rPr>
                      <w:rFonts w:hint="eastAsia" w:ascii="宋体" w:hAnsi="宋体" w:cs="宋体"/>
                      <w:color w:val="auto"/>
                      <w:highlight w:val="none"/>
                    </w:rPr>
                  </w:pPr>
                  <w:r>
                    <w:rPr>
                      <w:rFonts w:hint="eastAsia" w:ascii="宋体" w:hAnsi="宋体" w:cs="宋体"/>
                      <w:color w:val="auto"/>
                      <w:highlight w:val="none"/>
                    </w:rPr>
                    <w:t>0.8%</w:t>
                  </w:r>
                </w:p>
              </w:tc>
            </w:tr>
            <w:tr w14:paraId="7B84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43178426">
                  <w:pPr>
                    <w:rPr>
                      <w:rFonts w:hint="eastAsia" w:ascii="宋体" w:hAnsi="宋体" w:cs="宋体"/>
                      <w:color w:val="auto"/>
                      <w:highlight w:val="none"/>
                    </w:rPr>
                  </w:pPr>
                  <w:r>
                    <w:rPr>
                      <w:rFonts w:hint="eastAsia" w:ascii="宋体" w:hAnsi="宋体" w:cs="宋体"/>
                      <w:color w:val="auto"/>
                      <w:highlight w:val="none"/>
                    </w:rPr>
                    <w:t>500~1000 万元</w:t>
                  </w:r>
                </w:p>
              </w:tc>
              <w:tc>
                <w:tcPr>
                  <w:tcW w:w="2500" w:type="pct"/>
                  <w:vAlign w:val="center"/>
                </w:tcPr>
                <w:p w14:paraId="34E560E8">
                  <w:pPr>
                    <w:jc w:val="center"/>
                    <w:rPr>
                      <w:rFonts w:hint="eastAsia" w:ascii="宋体" w:hAnsi="宋体" w:cs="宋体"/>
                      <w:color w:val="auto"/>
                      <w:highlight w:val="none"/>
                    </w:rPr>
                  </w:pPr>
                  <w:r>
                    <w:rPr>
                      <w:rFonts w:hint="eastAsia" w:ascii="宋体" w:hAnsi="宋体" w:cs="宋体"/>
                      <w:color w:val="auto"/>
                      <w:highlight w:val="none"/>
                    </w:rPr>
                    <w:t>0.45%</w:t>
                  </w:r>
                </w:p>
              </w:tc>
            </w:tr>
            <w:tr w14:paraId="510A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15254BAA">
                  <w:pPr>
                    <w:rPr>
                      <w:rFonts w:hint="eastAsia" w:ascii="宋体" w:hAnsi="宋体" w:cs="宋体"/>
                      <w:color w:val="auto"/>
                      <w:highlight w:val="none"/>
                    </w:rPr>
                  </w:pPr>
                  <w:r>
                    <w:rPr>
                      <w:rFonts w:hint="eastAsia" w:ascii="宋体" w:hAnsi="宋体" w:cs="宋体"/>
                      <w:color w:val="auto"/>
                      <w:highlight w:val="none"/>
                    </w:rPr>
                    <w:t>1000~5000 万元</w:t>
                  </w:r>
                </w:p>
              </w:tc>
              <w:tc>
                <w:tcPr>
                  <w:tcW w:w="2500" w:type="pct"/>
                  <w:vAlign w:val="center"/>
                </w:tcPr>
                <w:p w14:paraId="680E2C2D">
                  <w:pPr>
                    <w:jc w:val="center"/>
                    <w:rPr>
                      <w:rFonts w:hint="eastAsia" w:ascii="宋体" w:hAnsi="宋体" w:cs="宋体"/>
                      <w:color w:val="auto"/>
                      <w:highlight w:val="none"/>
                    </w:rPr>
                  </w:pPr>
                  <w:r>
                    <w:rPr>
                      <w:rFonts w:hint="eastAsia" w:ascii="宋体" w:hAnsi="宋体" w:cs="宋体"/>
                      <w:color w:val="auto"/>
                      <w:highlight w:val="none"/>
                    </w:rPr>
                    <w:t>0.25%</w:t>
                  </w:r>
                </w:p>
              </w:tc>
            </w:tr>
          </w:tbl>
          <w:p w14:paraId="5DD68FF6">
            <w:pPr>
              <w:spacing w:line="360" w:lineRule="auto"/>
              <w:rPr>
                <w:rFonts w:ascii="Times New Roman" w:hAnsi="Times New Roman"/>
                <w:color w:val="auto"/>
                <w:szCs w:val="21"/>
                <w:highlight w:val="none"/>
              </w:rPr>
            </w:pPr>
            <w:r>
              <w:rPr>
                <w:rFonts w:ascii="Times New Roman" w:hAnsi="Times New Roman"/>
                <w:color w:val="auto"/>
                <w:szCs w:val="21"/>
                <w:highlight w:val="none"/>
              </w:rPr>
              <w:t>中标人应在领取中标通知书前以转账、电汇付款方式一次性向采购代理机构缴纳招标代理服务费</w:t>
            </w:r>
            <w:r>
              <w:rPr>
                <w:rFonts w:hint="eastAsia" w:ascii="Times New Roman" w:hAnsi="Times New Roman"/>
                <w:color w:val="auto"/>
                <w:szCs w:val="21"/>
                <w:highlight w:val="none"/>
              </w:rPr>
              <w:t>；</w:t>
            </w:r>
            <w:r>
              <w:rPr>
                <w:rFonts w:ascii="Times New Roman" w:hAnsi="Times New Roman"/>
                <w:color w:val="auto"/>
                <w:szCs w:val="21"/>
                <w:highlight w:val="none"/>
              </w:rPr>
              <w:t>本项目招标代理服务费上限金额为人民币陆万元整(￥60000.00)，若超过服务费上限金额则按人民币陆万元整(￥60000.00)收取。</w:t>
            </w:r>
          </w:p>
          <w:p w14:paraId="6FCB3B4E">
            <w:pPr>
              <w:spacing w:line="360" w:lineRule="auto"/>
              <w:rPr>
                <w:rFonts w:ascii="Times New Roman" w:hAnsi="Times New Roman"/>
                <w:color w:val="auto"/>
                <w:szCs w:val="21"/>
                <w:highlight w:val="none"/>
                <w:u w:val="single"/>
              </w:rPr>
            </w:pPr>
            <w:r>
              <w:rPr>
                <w:rFonts w:ascii="Times New Roman" w:hAnsi="Times New Roman"/>
                <w:color w:val="auto"/>
                <w:szCs w:val="21"/>
                <w:highlight w:val="none"/>
                <w:u w:val="single"/>
              </w:rPr>
              <w:t xml:space="preserve">服务费缴纳账户信息： </w:t>
            </w:r>
          </w:p>
          <w:p w14:paraId="22628E94">
            <w:pPr>
              <w:spacing w:line="360" w:lineRule="auto"/>
              <w:rPr>
                <w:rFonts w:ascii="Times New Roman" w:hAnsi="Times New Roman"/>
                <w:color w:val="auto"/>
                <w:szCs w:val="21"/>
                <w:highlight w:val="none"/>
                <w:u w:val="single"/>
              </w:rPr>
            </w:pPr>
            <w:r>
              <w:rPr>
                <w:rFonts w:ascii="Times New Roman" w:hAnsi="Times New Roman"/>
                <w:color w:val="auto"/>
                <w:szCs w:val="21"/>
                <w:highlight w:val="none"/>
                <w:u w:val="single"/>
              </w:rPr>
              <w:t xml:space="preserve">开户名称：福建省福瑞工程管理有限公司 </w:t>
            </w:r>
          </w:p>
          <w:p w14:paraId="6094158A">
            <w:pPr>
              <w:spacing w:line="360" w:lineRule="auto"/>
              <w:rPr>
                <w:rFonts w:ascii="Times New Roman" w:hAnsi="Times New Roman"/>
                <w:color w:val="auto"/>
                <w:szCs w:val="21"/>
                <w:highlight w:val="none"/>
                <w:u w:val="single"/>
              </w:rPr>
            </w:pPr>
            <w:r>
              <w:rPr>
                <w:rFonts w:ascii="Times New Roman" w:hAnsi="Times New Roman"/>
                <w:color w:val="auto"/>
                <w:szCs w:val="21"/>
                <w:highlight w:val="none"/>
                <w:u w:val="single"/>
              </w:rPr>
              <w:t>开户银行：中国银行股份有限公司福州分行（或台江支行）</w:t>
            </w:r>
          </w:p>
          <w:p w14:paraId="2CB73833">
            <w:pPr>
              <w:spacing w:line="360" w:lineRule="auto"/>
              <w:rPr>
                <w:rFonts w:ascii="Times New Roman" w:hAnsi="Times New Roman"/>
                <w:color w:val="auto"/>
                <w:szCs w:val="21"/>
                <w:highlight w:val="none"/>
              </w:rPr>
            </w:pPr>
            <w:r>
              <w:rPr>
                <w:rFonts w:ascii="Times New Roman" w:hAnsi="Times New Roman"/>
                <w:color w:val="auto"/>
                <w:szCs w:val="21"/>
                <w:highlight w:val="none"/>
                <w:u w:val="single"/>
              </w:rPr>
              <w:t xml:space="preserve">账    号：422164422857  </w:t>
            </w:r>
          </w:p>
        </w:tc>
      </w:tr>
      <w:tr w14:paraId="15CB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4C12290">
            <w:pPr>
              <w:topLinePunct/>
              <w:autoSpaceDE w:val="0"/>
              <w:autoSpaceDN w:val="0"/>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31</w:t>
            </w:r>
          </w:p>
        </w:tc>
        <w:tc>
          <w:tcPr>
            <w:tcW w:w="1984" w:type="dxa"/>
            <w:vAlign w:val="center"/>
          </w:tcPr>
          <w:p w14:paraId="2617599E">
            <w:pPr>
              <w:adjustRightInd w:val="0"/>
              <w:snapToGri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其他补充事项</w:t>
            </w:r>
          </w:p>
        </w:tc>
        <w:tc>
          <w:tcPr>
            <w:tcW w:w="6058" w:type="dxa"/>
            <w:gridSpan w:val="2"/>
            <w:vAlign w:val="center"/>
          </w:tcPr>
          <w:p w14:paraId="2089DCA2">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其他补充事项：</w:t>
            </w:r>
            <w:r>
              <w:rPr>
                <w:rFonts w:ascii="Times New Roman" w:hAnsi="Times New Roman"/>
                <w:color w:val="auto"/>
                <w:szCs w:val="21"/>
                <w:highlight w:val="none"/>
                <w:u w:val="single"/>
              </w:rPr>
              <w:t>本项目为线下招标项目，招标文件中涉及“线上采购项目”等有关规 定的，均不适用于本项目。（若有矛盾， 以此为准。）</w:t>
            </w:r>
          </w:p>
        </w:tc>
      </w:tr>
    </w:tbl>
    <w:p w14:paraId="7F391ECF">
      <w:pPr>
        <w:rPr>
          <w:color w:val="auto"/>
          <w:highlight w:val="none"/>
        </w:rPr>
      </w:pPr>
    </w:p>
    <w:p w14:paraId="184F5D46">
      <w:pPr>
        <w:rPr>
          <w:color w:val="auto"/>
          <w:highlight w:val="none"/>
        </w:rPr>
        <w:sectPr>
          <w:pgSz w:w="11906" w:h="16838"/>
          <w:pgMar w:top="1440" w:right="1752" w:bottom="1440" w:left="1752" w:header="851" w:footer="992" w:gutter="0"/>
          <w:cols w:space="720" w:num="1"/>
          <w:titlePg/>
          <w:docGrid w:type="lines" w:linePitch="312" w:charSpace="0"/>
        </w:sectPr>
      </w:pPr>
    </w:p>
    <w:p w14:paraId="34591867">
      <w:pPr>
        <w:spacing w:line="360" w:lineRule="auto"/>
        <w:ind w:firstLine="420" w:firstLineChars="200"/>
        <w:rPr>
          <w:rFonts w:ascii="Times New Roman" w:hAnsi="Times New Roman" w:eastAsia="黑体"/>
          <w:color w:val="auto"/>
          <w:szCs w:val="21"/>
          <w:highlight w:val="none"/>
        </w:rPr>
      </w:pPr>
      <w:bookmarkStart w:id="3" w:name="_Toc132880274"/>
      <w:r>
        <w:rPr>
          <w:rFonts w:ascii="Times New Roman" w:hAnsi="Times New Roman" w:eastAsia="黑体"/>
          <w:color w:val="auto"/>
          <w:szCs w:val="21"/>
          <w:highlight w:val="none"/>
        </w:rPr>
        <w:t>一、总则</w:t>
      </w:r>
      <w:bookmarkEnd w:id="3"/>
    </w:p>
    <w:p w14:paraId="5F6C72AE">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1.预算资金及来源</w:t>
      </w:r>
    </w:p>
    <w:p w14:paraId="23E140B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 本项目已经</w:t>
      </w:r>
      <w:r>
        <w:rPr>
          <w:rFonts w:hint="eastAsia" w:ascii="Times New Roman" w:hAnsi="Times New Roman"/>
          <w:b/>
          <w:color w:val="auto"/>
          <w:szCs w:val="21"/>
          <w:highlight w:val="none"/>
          <w:u w:val="single"/>
        </w:rPr>
        <w:t>国家税务总局福州市税务局</w:t>
      </w:r>
      <w:r>
        <w:rPr>
          <w:rFonts w:ascii="Times New Roman" w:hAnsi="Times New Roman"/>
          <w:color w:val="auto"/>
          <w:szCs w:val="21"/>
          <w:highlight w:val="none"/>
        </w:rPr>
        <w:t>批准立项。</w:t>
      </w:r>
    </w:p>
    <w:p w14:paraId="37E0136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 本项目预算资金见</w:t>
      </w:r>
      <w:r>
        <w:rPr>
          <w:rFonts w:ascii="Times New Roman" w:hAnsi="Times New Roman"/>
          <w:b/>
          <w:bCs/>
          <w:color w:val="auto"/>
          <w:szCs w:val="21"/>
          <w:highlight w:val="none"/>
        </w:rPr>
        <w:t>投标人须知前附表</w:t>
      </w:r>
      <w:r>
        <w:rPr>
          <w:rFonts w:ascii="Times New Roman" w:hAnsi="Times New Roman"/>
          <w:color w:val="auto"/>
          <w:szCs w:val="21"/>
          <w:highlight w:val="none"/>
        </w:rPr>
        <w:t>，已列入</w:t>
      </w:r>
      <w:r>
        <w:rPr>
          <w:rFonts w:hint="eastAsia" w:ascii="Times New Roman" w:hAnsi="Times New Roman"/>
          <w:b/>
          <w:color w:val="auto"/>
          <w:szCs w:val="21"/>
          <w:highlight w:val="none"/>
          <w:u w:val="single"/>
        </w:rPr>
        <w:t>国家税务总局福州市税务局</w:t>
      </w:r>
      <w:r>
        <w:rPr>
          <w:rFonts w:ascii="Times New Roman" w:hAnsi="Times New Roman"/>
          <w:color w:val="auto"/>
          <w:szCs w:val="21"/>
          <w:highlight w:val="none"/>
        </w:rPr>
        <w:t>预算。</w:t>
      </w:r>
    </w:p>
    <w:p w14:paraId="039623B1">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2.合格的产品和服务</w:t>
      </w:r>
    </w:p>
    <w:p w14:paraId="54ECBA72">
      <w:pPr>
        <w:tabs>
          <w:tab w:val="left" w:pos="216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本项目所涉及的所有产品和服务均应来自中国境内（指关境内），合同金额的支付也仅限于这些产品和服务。</w:t>
      </w:r>
    </w:p>
    <w:p w14:paraId="3E838D6E">
      <w:pPr>
        <w:tabs>
          <w:tab w:val="left" w:pos="216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合格的产品和服务即</w:t>
      </w:r>
      <w:r>
        <w:rPr>
          <w:rFonts w:ascii="Times New Roman" w:hAnsi="Times New Roman"/>
          <w:b/>
          <w:bCs/>
          <w:color w:val="auto"/>
          <w:szCs w:val="21"/>
          <w:highlight w:val="none"/>
        </w:rPr>
        <w:t>采购需求</w:t>
      </w:r>
      <w:r>
        <w:rPr>
          <w:rFonts w:ascii="Times New Roman" w:hAnsi="Times New Roman"/>
          <w:color w:val="auto"/>
          <w:szCs w:val="21"/>
          <w:highlight w:val="none"/>
        </w:rPr>
        <w:t>见</w:t>
      </w:r>
      <w:r>
        <w:rPr>
          <w:rFonts w:ascii="Times New Roman" w:hAnsi="Times New Roman"/>
          <w:b/>
          <w:color w:val="auto"/>
          <w:szCs w:val="21"/>
          <w:highlight w:val="none"/>
        </w:rPr>
        <w:t>招标文件（技术部分）。</w:t>
      </w:r>
    </w:p>
    <w:p w14:paraId="55587DDE">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 投标人应保证所提供的产品及服务免受第三方提出侵犯其知识产权（专利权、商标权、工业设计权及使用权）的请求及起诉。</w:t>
      </w:r>
    </w:p>
    <w:p w14:paraId="425D3401">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3.合格的投标人</w:t>
      </w:r>
    </w:p>
    <w:p w14:paraId="5BACAA27">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3.1一般规定</w:t>
      </w:r>
    </w:p>
    <w:p w14:paraId="37F00F00">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14:paraId="6EBE8095">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3.1.2投标人的资格要求及本项目的特定资格要求见</w:t>
      </w:r>
      <w:r>
        <w:rPr>
          <w:rFonts w:hint="default" w:ascii="Times New Roman" w:hAnsi="Times New Roman"/>
          <w:b/>
          <w:color w:val="auto"/>
          <w:sz w:val="21"/>
          <w:szCs w:val="21"/>
          <w:highlight w:val="none"/>
        </w:rPr>
        <w:t>投标人须知前附表</w:t>
      </w:r>
      <w:r>
        <w:rPr>
          <w:rFonts w:hint="default" w:ascii="Times New Roman" w:hAnsi="Times New Roman"/>
          <w:color w:val="auto"/>
          <w:sz w:val="21"/>
          <w:szCs w:val="21"/>
          <w:highlight w:val="none"/>
        </w:rPr>
        <w:t>。</w:t>
      </w:r>
    </w:p>
    <w:p w14:paraId="3FE421F2">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3.1.3资格条件中所称“重大违法记录”，是指投标人因违法经营受到刑事处罚或者责令停产停业、吊销许可证或者执照、较大数额罚款等行政处罚。</w:t>
      </w:r>
    </w:p>
    <w:p w14:paraId="75709D8B">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投标人在参加政府采购活动前3年内因违法经营被禁止在一定期限内参加政府采购活动，期限届满的，可以参加政府采购活动。</w:t>
      </w:r>
    </w:p>
    <w:p w14:paraId="32F9153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“较大数额罚款”认定为200万元以上的罚款，法律、行政法规以及国务院有关部门明确规定相关领域“较大数额罚款”标准高于200万元的，从其规定。</w:t>
      </w:r>
    </w:p>
    <w:p w14:paraId="0D5CFBDF">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3.1.4信用记录要求</w:t>
      </w:r>
    </w:p>
    <w:p w14:paraId="32FB7B75">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7ACFD4EC">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3880AE9D">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3.2联合体</w:t>
      </w:r>
    </w:p>
    <w:p w14:paraId="37C804D2">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3.2.1若本项目接受联合体投标，则两个以上的自然人、法人或者其他组织可以组成一个联合体，以一个投标人的身份共同参加政府采购。</w:t>
      </w:r>
    </w:p>
    <w:p w14:paraId="33D066AA">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3.2.2以联合体形式参加投标的，联合体各方应按第二章要求提供资格条件材料。</w:t>
      </w:r>
    </w:p>
    <w:p w14:paraId="69B01E02">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3.2.3联合体中有同类资质的投标人按照联合体分工承担相同工作的，应当按照资质等级较低的投标人确定资质等级。</w:t>
      </w:r>
    </w:p>
    <w:p w14:paraId="042A007F">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3.2.4联合体应当提交联合协议，载明联合体各方承担的工作和义务。</w:t>
      </w:r>
    </w:p>
    <w:p w14:paraId="1AC25E55">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3.2.5联合体各方应当共同与采购人签订采购合同，就采购合同约定的事项对采购人承担连带责任。</w:t>
      </w:r>
    </w:p>
    <w:p w14:paraId="78A853B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3.2.6以联合体形式参加政府采购活动的，联合体各方不得再单独参加或者与其他投标人另外组成联合体参加同一合同项下的政府采购活动。</w:t>
      </w:r>
    </w:p>
    <w:p w14:paraId="6C0CF299">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3.3禁止规定</w:t>
      </w:r>
    </w:p>
    <w:p w14:paraId="33B52FF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3.3.1单位负责人为同一人或者存在直接控股、管理关系的不同投标人，不得参加同一采购包的政府采购活动。否则投标均无效。</w:t>
      </w:r>
    </w:p>
    <w:p w14:paraId="24DDFE85">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418D3C33">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4.投标费用</w:t>
      </w:r>
    </w:p>
    <w:p w14:paraId="6FC4B5D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投标人应承担所有与编写、提交投标文件有关的费用，不论招标的结果如何，采购人在任何情况下均无义务和责任承担这些费用。</w:t>
      </w:r>
    </w:p>
    <w:p w14:paraId="152AD814">
      <w:pPr>
        <w:spacing w:line="360" w:lineRule="auto"/>
        <w:ind w:firstLine="420" w:firstLineChars="200"/>
        <w:rPr>
          <w:rFonts w:hint="eastAsia" w:ascii="黑体" w:hAnsi="黑体" w:eastAsia="黑体" w:cs="黑体"/>
          <w:color w:val="auto"/>
          <w:highlight w:val="none"/>
        </w:rPr>
      </w:pPr>
      <w:bookmarkStart w:id="4" w:name="_Toc132880275"/>
      <w:r>
        <w:rPr>
          <w:rFonts w:hint="eastAsia" w:ascii="黑体" w:hAnsi="黑体" w:eastAsia="黑体" w:cs="黑体"/>
          <w:color w:val="auto"/>
          <w:highlight w:val="none"/>
        </w:rPr>
        <w:t>二、招标文件</w:t>
      </w:r>
      <w:bookmarkEnd w:id="4"/>
    </w:p>
    <w:p w14:paraId="04D2744D">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5.招标文件构成</w:t>
      </w:r>
    </w:p>
    <w:p w14:paraId="5C400194">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第一部分 商务部分</w:t>
      </w:r>
    </w:p>
    <w:p w14:paraId="05EDC1C3">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（1）招标公告</w:t>
      </w:r>
    </w:p>
    <w:p w14:paraId="2A19830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（2）投标人须知</w:t>
      </w:r>
    </w:p>
    <w:p w14:paraId="2704FB4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（3）评标方法及标准</w:t>
      </w:r>
    </w:p>
    <w:p w14:paraId="5ED6CD7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（4）政府采购合同文本</w:t>
      </w:r>
    </w:p>
    <w:p w14:paraId="1B7C0257">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（5）投标文件格式</w:t>
      </w:r>
    </w:p>
    <w:p w14:paraId="38F59DBF">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第二部分 技术部分</w:t>
      </w:r>
    </w:p>
    <w:p w14:paraId="5000CABD">
      <w:pPr>
        <w:topLinePunct/>
        <w:autoSpaceDE w:val="0"/>
        <w:autoSpaceDN w:val="0"/>
        <w:adjustRightInd w:val="0"/>
        <w:snapToGrid w:val="0"/>
        <w:spacing w:line="360" w:lineRule="auto"/>
        <w:ind w:firstLine="413" w:firstLineChars="196"/>
        <w:rPr>
          <w:rFonts w:ascii="Times New Roman" w:hAnsi="Times New Roman"/>
          <w:b/>
          <w:color w:val="auto"/>
          <w:szCs w:val="21"/>
          <w:highlight w:val="none"/>
        </w:rPr>
      </w:pPr>
      <w:r>
        <w:rPr>
          <w:rFonts w:ascii="Times New Roman" w:hAnsi="Times New Roman"/>
          <w:b/>
          <w:color w:val="auto"/>
          <w:szCs w:val="21"/>
          <w:highlight w:val="none"/>
        </w:rPr>
        <w:t>6.招标文件询问、澄清或修改</w:t>
      </w:r>
    </w:p>
    <w:p w14:paraId="3E685370">
      <w:pPr>
        <w:widowControl/>
        <w:topLinePunct/>
        <w:autoSpaceDE w:val="0"/>
        <w:autoSpaceDN w:val="0"/>
        <w:adjustRightInd w:val="0"/>
        <w:snapToGrid w:val="0"/>
        <w:spacing w:line="360" w:lineRule="auto"/>
        <w:ind w:firstLine="420" w:firstLineChars="200"/>
        <w:jc w:val="left"/>
        <w:rPr>
          <w:rFonts w:ascii="Times New Roman" w:hAnsi="Times New Roman"/>
          <w:b/>
          <w:color w:val="auto"/>
          <w:szCs w:val="21"/>
          <w:highlight w:val="none"/>
        </w:rPr>
      </w:pPr>
      <w:r>
        <w:rPr>
          <w:rFonts w:ascii="Times New Roman" w:hAnsi="Times New Roman"/>
          <w:color w:val="auto"/>
          <w:szCs w:val="21"/>
          <w:highlight w:val="none"/>
        </w:rPr>
        <w:t>6.1 投标人对招标文件如有疑问的，可以向采购人或者采购代理机构提出询问，采购人或者采购代理机构应当在3个工作日内作出答复</w:t>
      </w:r>
      <w:r>
        <w:rPr>
          <w:rFonts w:ascii="Times New Roman" w:hAnsi="Times New Roman"/>
          <w:bCs/>
          <w:color w:val="auto"/>
          <w:szCs w:val="21"/>
          <w:highlight w:val="none"/>
        </w:rPr>
        <w:t>，但答复的内容不得涉及商业秘密。</w:t>
      </w:r>
      <w:r>
        <w:rPr>
          <w:rFonts w:ascii="Times New Roman" w:hAnsi="Times New Roman"/>
          <w:color w:val="auto"/>
          <w:szCs w:val="21"/>
          <w:highlight w:val="none"/>
        </w:rPr>
        <w:t>如有必要，采购人或者采购代理机构可对招标文件进行澄清或者修改。</w:t>
      </w:r>
    </w:p>
    <w:p w14:paraId="05C4B82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 采购人或者采购代理机构可主动对招标文件进行必要的澄清或者修改，但不得改变采购标的和资格条件。</w:t>
      </w:r>
    </w:p>
    <w:p w14:paraId="4A5DA00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6.3 澄清或者修改应当在原公告发布媒体上发布澄清公告，线上采购项目还应通过国家税务总局政府采购评审管理系统（以下简称“评审管理系统”）通知所有获取招标文件的潜在投标人。</w:t>
      </w:r>
    </w:p>
    <w:p w14:paraId="1F2C376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14:paraId="0292E4E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6.5 澄清或者修改的内容为招标文件的组成部分。</w:t>
      </w:r>
    </w:p>
    <w:p w14:paraId="3CEB561B">
      <w:pPr>
        <w:spacing w:line="360" w:lineRule="auto"/>
        <w:ind w:firstLine="420" w:firstLineChars="200"/>
        <w:rPr>
          <w:rFonts w:hint="eastAsia" w:ascii="黑体" w:hAnsi="黑体" w:eastAsia="黑体" w:cs="黑体"/>
          <w:color w:val="auto"/>
          <w:highlight w:val="none"/>
        </w:rPr>
      </w:pPr>
      <w:bookmarkStart w:id="5" w:name="_Toc132880276"/>
      <w:r>
        <w:rPr>
          <w:rFonts w:hint="eastAsia" w:ascii="黑体" w:hAnsi="黑体" w:eastAsia="黑体" w:cs="黑体"/>
          <w:color w:val="auto"/>
          <w:highlight w:val="none"/>
        </w:rPr>
        <w:t>三、投标文件</w:t>
      </w:r>
      <w:bookmarkEnd w:id="5"/>
    </w:p>
    <w:p w14:paraId="7522674C">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7</w:t>
      </w:r>
      <w:r>
        <w:rPr>
          <w:rFonts w:ascii="Times New Roman" w:hAnsi="Times New Roman"/>
          <w:color w:val="auto"/>
          <w:szCs w:val="21"/>
          <w:highlight w:val="none"/>
        </w:rPr>
        <w:t>．</w:t>
      </w:r>
      <w:r>
        <w:rPr>
          <w:rFonts w:ascii="Times New Roman" w:hAnsi="Times New Roman"/>
          <w:b/>
          <w:color w:val="auto"/>
          <w:szCs w:val="21"/>
          <w:highlight w:val="none"/>
        </w:rPr>
        <w:t>投标文件编制</w:t>
      </w:r>
    </w:p>
    <w:p w14:paraId="4FD2383F">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7.1投标文件的编制</w:t>
      </w:r>
    </w:p>
    <w:p w14:paraId="6979B30A">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7.1.1投标人应先仔细阅读招标文件的全部内容后，再进行投标文件的编制。</w:t>
      </w:r>
    </w:p>
    <w:p w14:paraId="6DB0FD43">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14:paraId="5BCAD7F4">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7.2投标文件的语言</w:t>
      </w:r>
    </w:p>
    <w:p w14:paraId="60CBA7F0">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7.2.1除招标文件另有规定外，投标文件应使用中文文本并使用中文简化字，若有不同文本，以中文简化字文本为准。</w:t>
      </w:r>
    </w:p>
    <w:p w14:paraId="464B8958">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7.2.2投标文件提供的全部资料中，若属于非中文描述的，应同时提供中文简化字译本。</w:t>
      </w:r>
    </w:p>
    <w:p w14:paraId="24CDC53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7.2.3除在招标文件的要求中另有规定外，投标文件计量单位应使用中华人民共和国法定计量单位。</w:t>
      </w:r>
    </w:p>
    <w:p w14:paraId="43E4E12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14:paraId="51B64CEF">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8.投标文件的组成</w:t>
      </w:r>
    </w:p>
    <w:p w14:paraId="12B3EF23">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投标文件包括商务部分和技术部分。</w:t>
      </w:r>
    </w:p>
    <w:p w14:paraId="78778A08">
      <w:pPr>
        <w:topLinePunct/>
        <w:autoSpaceDE w:val="0"/>
        <w:autoSpaceDN w:val="0"/>
        <w:adjustRightInd w:val="0"/>
        <w:snapToGrid w:val="0"/>
        <w:spacing w:line="360" w:lineRule="auto"/>
        <w:ind w:firstLine="428" w:firstLineChars="204"/>
        <w:rPr>
          <w:rFonts w:ascii="Times New Roman" w:hAnsi="Times New Roman"/>
          <w:color w:val="auto"/>
          <w:szCs w:val="21"/>
          <w:highlight w:val="none"/>
        </w:rPr>
      </w:pPr>
      <w:r>
        <w:rPr>
          <w:rFonts w:ascii="Times New Roman" w:hAnsi="Times New Roman"/>
          <w:color w:val="auto"/>
          <w:szCs w:val="21"/>
          <w:highlight w:val="none"/>
        </w:rPr>
        <w:t>8.2 投标文件</w:t>
      </w:r>
      <w:r>
        <w:rPr>
          <w:rFonts w:ascii="Times New Roman" w:hAnsi="Times New Roman"/>
          <w:b/>
          <w:bCs/>
          <w:color w:val="auto"/>
          <w:szCs w:val="21"/>
          <w:highlight w:val="none"/>
        </w:rPr>
        <w:t>商务部分</w:t>
      </w:r>
      <w:r>
        <w:rPr>
          <w:rFonts w:ascii="Times New Roman" w:hAnsi="Times New Roman"/>
          <w:color w:val="auto"/>
          <w:szCs w:val="21"/>
          <w:highlight w:val="none"/>
        </w:rPr>
        <w:t>主要包括的文件和资料：</w:t>
      </w:r>
    </w:p>
    <w:p w14:paraId="699ABD2F">
      <w:pPr>
        <w:topLinePunct/>
        <w:autoSpaceDE w:val="0"/>
        <w:autoSpaceDN w:val="0"/>
        <w:adjustRightInd w:val="0"/>
        <w:snapToGrid w:val="0"/>
        <w:spacing w:line="360" w:lineRule="auto"/>
        <w:ind w:firstLine="428" w:firstLineChars="204"/>
        <w:rPr>
          <w:rFonts w:ascii="Times New Roman" w:hAnsi="Times New Roman"/>
          <w:color w:val="auto"/>
          <w:szCs w:val="21"/>
          <w:highlight w:val="none"/>
        </w:rPr>
      </w:pPr>
      <w:r>
        <w:rPr>
          <w:rFonts w:ascii="Times New Roman" w:hAnsi="Times New Roman"/>
          <w:color w:val="auto"/>
          <w:szCs w:val="21"/>
          <w:highlight w:val="none"/>
        </w:rPr>
        <w:t>8.2.1 资格证明文件，见</w:t>
      </w:r>
      <w:r>
        <w:rPr>
          <w:rFonts w:ascii="Times New Roman" w:hAnsi="Times New Roman"/>
          <w:b/>
          <w:color w:val="auto"/>
          <w:szCs w:val="21"/>
          <w:highlight w:val="none"/>
        </w:rPr>
        <w:t>投标人须知前附表。</w:t>
      </w:r>
    </w:p>
    <w:p w14:paraId="08CCE163">
      <w:pPr>
        <w:overflowPunct w:val="0"/>
        <w:autoSpaceDE w:val="0"/>
        <w:autoSpaceDN w:val="0"/>
        <w:adjustRightInd w:val="0"/>
        <w:snapToGrid w:val="0"/>
        <w:spacing w:line="360" w:lineRule="auto"/>
        <w:ind w:firstLine="426" w:firstLineChars="203"/>
        <w:rPr>
          <w:rFonts w:ascii="Times New Roman" w:hAnsi="Times New Roman"/>
          <w:color w:val="auto"/>
          <w:szCs w:val="21"/>
          <w:highlight w:val="none"/>
        </w:rPr>
      </w:pPr>
      <w:r>
        <w:rPr>
          <w:rFonts w:ascii="Times New Roman" w:hAnsi="Times New Roman"/>
          <w:color w:val="auto"/>
          <w:szCs w:val="21"/>
          <w:highlight w:val="none"/>
        </w:rPr>
        <w:t>8.2.2 其他文件及资料，见</w:t>
      </w:r>
      <w:r>
        <w:rPr>
          <w:rFonts w:ascii="Times New Roman" w:hAnsi="Times New Roman"/>
          <w:b/>
          <w:color w:val="auto"/>
          <w:szCs w:val="21"/>
          <w:highlight w:val="none"/>
        </w:rPr>
        <w:t>投标人须知前附表。</w:t>
      </w:r>
    </w:p>
    <w:p w14:paraId="2A2CC976">
      <w:pPr>
        <w:overflowPunct w:val="0"/>
        <w:autoSpaceDE w:val="0"/>
        <w:autoSpaceDN w:val="0"/>
        <w:adjustRightInd w:val="0"/>
        <w:snapToGrid w:val="0"/>
        <w:spacing w:line="360" w:lineRule="auto"/>
        <w:ind w:firstLine="426" w:firstLineChars="203"/>
        <w:rPr>
          <w:rFonts w:ascii="Times New Roman" w:hAnsi="Times New Roman"/>
          <w:color w:val="auto"/>
          <w:szCs w:val="21"/>
          <w:highlight w:val="none"/>
        </w:rPr>
      </w:pPr>
      <w:r>
        <w:rPr>
          <w:rFonts w:ascii="Times New Roman" w:hAnsi="Times New Roman"/>
          <w:color w:val="auto"/>
          <w:szCs w:val="21"/>
          <w:highlight w:val="none"/>
        </w:rPr>
        <w:t>8.3 投标文件</w:t>
      </w:r>
      <w:r>
        <w:rPr>
          <w:rFonts w:ascii="Times New Roman" w:hAnsi="Times New Roman"/>
          <w:b/>
          <w:bCs/>
          <w:color w:val="auto"/>
          <w:szCs w:val="21"/>
          <w:highlight w:val="none"/>
        </w:rPr>
        <w:t>技术部分</w:t>
      </w:r>
      <w:r>
        <w:rPr>
          <w:rFonts w:ascii="Times New Roman" w:hAnsi="Times New Roman"/>
          <w:color w:val="auto"/>
          <w:szCs w:val="21"/>
          <w:highlight w:val="none"/>
        </w:rPr>
        <w:t>主要包括的文件及资料，见</w:t>
      </w:r>
      <w:r>
        <w:rPr>
          <w:rFonts w:ascii="Times New Roman" w:hAnsi="Times New Roman"/>
          <w:b/>
          <w:color w:val="auto"/>
          <w:szCs w:val="21"/>
          <w:highlight w:val="none"/>
        </w:rPr>
        <w:t>投标人须知前附表。</w:t>
      </w:r>
    </w:p>
    <w:p w14:paraId="541F8FE9">
      <w:pPr>
        <w:overflowPunct w:val="0"/>
        <w:autoSpaceDE w:val="0"/>
        <w:autoSpaceDN w:val="0"/>
        <w:adjustRightInd w:val="0"/>
        <w:snapToGrid w:val="0"/>
        <w:spacing w:line="360" w:lineRule="auto"/>
        <w:ind w:firstLine="426" w:firstLineChars="203"/>
        <w:rPr>
          <w:rFonts w:ascii="Times New Roman" w:hAnsi="Times New Roman"/>
          <w:color w:val="auto"/>
          <w:szCs w:val="21"/>
          <w:highlight w:val="none"/>
        </w:rPr>
      </w:pPr>
      <w:r>
        <w:rPr>
          <w:rFonts w:ascii="Times New Roman" w:hAnsi="Times New Roman"/>
          <w:color w:val="auto"/>
          <w:szCs w:val="21"/>
          <w:highlight w:val="none"/>
        </w:rPr>
        <w:t>8.4 证明资料如标明有效期的，必须在有效期内。</w:t>
      </w:r>
    </w:p>
    <w:p w14:paraId="78F7C792">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9.报价要求</w:t>
      </w:r>
    </w:p>
    <w:p w14:paraId="2830847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除招标文件另有规定外，投标应以人民币报价，线上采购项目还须按照投标工具的流程和提示编制并上传投标报价表。</w:t>
      </w:r>
    </w:p>
    <w:p w14:paraId="194D24D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本项目不接受任何形式的赠送、“零”报价和折扣报价。</w:t>
      </w:r>
    </w:p>
    <w:p w14:paraId="1A203DE6">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9.3 本项目以投标报价为依据计算价格分。投标报价应包括招标文件中要求投标人承担所有工作内容的全部费用。</w:t>
      </w:r>
    </w:p>
    <w:p w14:paraId="60D18D5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618F3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9.5 最低报价不能作为中标的保证。</w:t>
      </w:r>
    </w:p>
    <w:p w14:paraId="580D098C">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10.投标文件的书写、密封、签署、盖章</w:t>
      </w:r>
    </w:p>
    <w:p w14:paraId="6B095A13">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10.1书写</w:t>
      </w:r>
    </w:p>
    <w:p w14:paraId="67F4ACBA">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10.1.1投标文件应使用不能擦去的墨料或墨水打印、书写。</w:t>
      </w:r>
    </w:p>
    <w:p w14:paraId="1A815006">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10.1.2投标文件内容应没有涂改或行间插字。若有前述改动，在改动处应由单位负责人（投标人代表）签字确认或加盖投标人的单位公章或校正章。</w:t>
      </w:r>
    </w:p>
    <w:p w14:paraId="206D0DB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10.2密封</w:t>
      </w:r>
    </w:p>
    <w:p w14:paraId="7E865E3B">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10.2.1投标文件应胶装或装订成册，避免材料散装、脱落。</w:t>
      </w:r>
    </w:p>
    <w:p w14:paraId="661B932D">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45C7234B">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10.3签署、盖章</w:t>
      </w:r>
    </w:p>
    <w:p w14:paraId="594C521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10.3.1投标文件中要求签字处应由投标人的单位负责人（投标人代表）签字或加盖个人印章。</w:t>
      </w:r>
    </w:p>
    <w:p w14:paraId="09342306">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10.3.2投标文件必须按照招标文件给出文件格式的签署要求进行签署。</w:t>
      </w:r>
    </w:p>
    <w:p w14:paraId="1F1CA63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10.3.3投标人在</w:t>
      </w:r>
      <w:r>
        <w:rPr>
          <w:rFonts w:ascii="Times New Roman" w:hAnsi="Times New Roman"/>
          <w:b/>
          <w:bCs/>
          <w:color w:val="auto"/>
          <w:szCs w:val="21"/>
          <w:highlight w:val="none"/>
        </w:rPr>
        <w:t>“投标函”“法定代表人授权委托书”</w:t>
      </w:r>
      <w:r>
        <w:rPr>
          <w:rFonts w:ascii="Times New Roman" w:hAnsi="Times New Roman"/>
          <w:color w:val="auto"/>
          <w:szCs w:val="21"/>
          <w:highlight w:val="none"/>
        </w:rPr>
        <w:t>上应当按格式要求加盖与投标人名称全称一致的标准公章，并按照招标文件第五章投标文件格式中的相应格式文件要求签署全名或加盖名章。</w:t>
      </w:r>
    </w:p>
    <w:p w14:paraId="1D3822A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10.3.4投标文件中的“盖章”指加盖投标人的“公章”，而非“合同专用章”、“投标专用章”等其他非公章。</w:t>
      </w:r>
    </w:p>
    <w:p w14:paraId="6AAE168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10.3.5线上采购项目可以使用电子签章。</w:t>
      </w:r>
    </w:p>
    <w:p w14:paraId="3B7B293B">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11</w:t>
      </w:r>
      <w:r>
        <w:rPr>
          <w:rFonts w:ascii="Times New Roman" w:hAnsi="Times New Roman"/>
          <w:color w:val="auto"/>
          <w:szCs w:val="21"/>
          <w:highlight w:val="none"/>
        </w:rPr>
        <w:t>．</w:t>
      </w:r>
      <w:r>
        <w:rPr>
          <w:rFonts w:ascii="Times New Roman" w:hAnsi="Times New Roman"/>
          <w:b/>
          <w:color w:val="auto"/>
          <w:szCs w:val="21"/>
          <w:highlight w:val="none"/>
        </w:rPr>
        <w:t>投标有效期</w:t>
      </w:r>
    </w:p>
    <w:p w14:paraId="577C8858">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 投标有效期见</w:t>
      </w:r>
      <w:r>
        <w:rPr>
          <w:rFonts w:ascii="Times New Roman" w:hAnsi="Times New Roman"/>
          <w:b/>
          <w:color w:val="auto"/>
          <w:szCs w:val="21"/>
          <w:highlight w:val="none"/>
        </w:rPr>
        <w:t>投标人须知前附表</w:t>
      </w:r>
      <w:r>
        <w:rPr>
          <w:rFonts w:ascii="Times New Roman" w:hAnsi="Times New Roman"/>
          <w:color w:val="auto"/>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5565BEFA">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 特殊情况下，在原投标有效期期满之前，采购人或者采购代理机构可征得投标人同意延长投标有效期。</w:t>
      </w:r>
    </w:p>
    <w:p w14:paraId="273E5EC1">
      <w:pPr>
        <w:spacing w:line="360" w:lineRule="auto"/>
        <w:ind w:firstLine="420" w:firstLineChars="200"/>
        <w:rPr>
          <w:rFonts w:hint="eastAsia" w:ascii="黑体" w:hAnsi="黑体" w:eastAsia="黑体" w:cs="黑体"/>
          <w:color w:val="auto"/>
          <w:highlight w:val="none"/>
        </w:rPr>
      </w:pPr>
      <w:bookmarkStart w:id="6" w:name="_Toc132880277"/>
      <w:r>
        <w:rPr>
          <w:rFonts w:hint="eastAsia" w:ascii="黑体" w:hAnsi="黑体" w:eastAsia="黑体" w:cs="黑体"/>
          <w:color w:val="auto"/>
          <w:highlight w:val="none"/>
        </w:rPr>
        <w:t>四、投标文件递交</w:t>
      </w:r>
      <w:bookmarkEnd w:id="6"/>
    </w:p>
    <w:p w14:paraId="12D36B3C">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12</w:t>
      </w:r>
      <w:r>
        <w:rPr>
          <w:rFonts w:ascii="Times New Roman" w:hAnsi="Times New Roman"/>
          <w:color w:val="auto"/>
          <w:szCs w:val="21"/>
          <w:highlight w:val="none"/>
        </w:rPr>
        <w:t>．</w:t>
      </w:r>
      <w:r>
        <w:rPr>
          <w:rFonts w:ascii="Times New Roman" w:hAnsi="Times New Roman"/>
          <w:b/>
          <w:color w:val="auto"/>
          <w:szCs w:val="21"/>
          <w:highlight w:val="none"/>
        </w:rPr>
        <w:t>投标文件递交</w:t>
      </w:r>
    </w:p>
    <w:p w14:paraId="586D340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 投标人应当在</w:t>
      </w:r>
      <w:r>
        <w:rPr>
          <w:rFonts w:ascii="Times New Roman" w:hAnsi="Times New Roman"/>
          <w:b/>
          <w:color w:val="auto"/>
          <w:szCs w:val="21"/>
          <w:highlight w:val="none"/>
        </w:rPr>
        <w:t>投标人须知前附表</w:t>
      </w:r>
      <w:r>
        <w:rPr>
          <w:rFonts w:ascii="Times New Roman" w:hAnsi="Times New Roman"/>
          <w:color w:val="auto"/>
          <w:szCs w:val="21"/>
          <w:highlight w:val="none"/>
        </w:rPr>
        <w:t>要求提交投标文件截止时间前，根据《投标人须知前附表》载明方式提交投标文件。提交投标文件截止时间后，递交投标文件的投标将被拒绝。</w:t>
      </w:r>
    </w:p>
    <w:p w14:paraId="0F61D823">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14:paraId="1AF2E7CC">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13</w:t>
      </w:r>
      <w:r>
        <w:rPr>
          <w:rFonts w:ascii="Times New Roman" w:hAnsi="Times New Roman"/>
          <w:color w:val="auto"/>
          <w:szCs w:val="21"/>
          <w:highlight w:val="none"/>
        </w:rPr>
        <w:t>．</w:t>
      </w:r>
      <w:r>
        <w:rPr>
          <w:rFonts w:ascii="Times New Roman" w:hAnsi="Times New Roman"/>
          <w:b/>
          <w:color w:val="auto"/>
          <w:szCs w:val="21"/>
          <w:highlight w:val="none"/>
        </w:rPr>
        <w:t>投标文件补充、修改或撤回</w:t>
      </w:r>
    </w:p>
    <w:p w14:paraId="28CE4B6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6C1D851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14:paraId="0EEFD138">
      <w:pPr>
        <w:widowControl/>
        <w:topLinePunct/>
        <w:autoSpaceDE w:val="0"/>
        <w:autoSpaceDN w:val="0"/>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13.3 提交投标文件截止时间后，不支持对已提交的投标文件作任何补充、修改或者撤回。</w:t>
      </w:r>
    </w:p>
    <w:p w14:paraId="32DA54CE">
      <w:pPr>
        <w:spacing w:line="360" w:lineRule="auto"/>
        <w:ind w:firstLine="420" w:firstLineChars="200"/>
        <w:rPr>
          <w:rFonts w:hint="eastAsia" w:ascii="黑体" w:hAnsi="黑体" w:eastAsia="黑体" w:cs="黑体"/>
          <w:color w:val="auto"/>
          <w:highlight w:val="none"/>
        </w:rPr>
      </w:pPr>
      <w:bookmarkStart w:id="7" w:name="_Toc132880278"/>
      <w:r>
        <w:rPr>
          <w:rFonts w:hint="eastAsia" w:ascii="黑体" w:hAnsi="黑体" w:eastAsia="黑体" w:cs="黑体"/>
          <w:color w:val="auto"/>
          <w:highlight w:val="none"/>
        </w:rPr>
        <w:t>五、开标与评标</w:t>
      </w:r>
      <w:bookmarkEnd w:id="7"/>
    </w:p>
    <w:p w14:paraId="0967043D">
      <w:pPr>
        <w:topLinePunct/>
        <w:autoSpaceDE w:val="0"/>
        <w:autoSpaceDN w:val="0"/>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14</w:t>
      </w:r>
      <w:r>
        <w:rPr>
          <w:rFonts w:ascii="Times New Roman" w:hAnsi="Times New Roman"/>
          <w:color w:val="auto"/>
          <w:szCs w:val="21"/>
          <w:highlight w:val="none"/>
        </w:rPr>
        <w:t>．</w:t>
      </w:r>
      <w:r>
        <w:rPr>
          <w:rFonts w:ascii="Times New Roman" w:hAnsi="Times New Roman"/>
          <w:b/>
          <w:color w:val="auto"/>
          <w:szCs w:val="21"/>
          <w:highlight w:val="none"/>
        </w:rPr>
        <w:t>开标</w:t>
      </w:r>
    </w:p>
    <w:p w14:paraId="7E7A15BD">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14.1 开标在招标文件确定的提交投标文件截止时间的同一时间进行。开标地点详见</w:t>
      </w:r>
      <w:r>
        <w:rPr>
          <w:rFonts w:ascii="Times New Roman" w:hAnsi="Times New Roman"/>
          <w:b/>
          <w:color w:val="auto"/>
          <w:szCs w:val="21"/>
          <w:highlight w:val="none"/>
        </w:rPr>
        <w:t>投标人须知前附表</w:t>
      </w:r>
      <w:r>
        <w:rPr>
          <w:rFonts w:ascii="Times New Roman" w:hAnsi="Times New Roman"/>
          <w:color w:val="auto"/>
          <w:szCs w:val="21"/>
          <w:highlight w:val="none"/>
        </w:rPr>
        <w:t>。</w:t>
      </w:r>
    </w:p>
    <w:p w14:paraId="727009A7">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14.2 开标由采购人或者采购代理机构主持，邀请投标人参加。评标委员会成员不得参加开标活动。</w:t>
      </w:r>
    </w:p>
    <w:p w14:paraId="2332BFC1">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551CF4A6">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0D2A1B59">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8B088F7">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14.6 在政府采购活动中，采购人员及相关人员与投标人有下列利害关系之一的，应当回避：</w:t>
      </w:r>
    </w:p>
    <w:p w14:paraId="318E1BCF">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（1）参加采购活动前3年内与投标人存在劳动关系；</w:t>
      </w:r>
    </w:p>
    <w:p w14:paraId="01E63C8B">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（2）参加采购活动前3年内担任投标人的董事、监事；</w:t>
      </w:r>
    </w:p>
    <w:p w14:paraId="29084DEF">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（3）参加采购活动前3年内是投标人的控股股东或者实际控制人；</w:t>
      </w:r>
    </w:p>
    <w:p w14:paraId="0910B1C4">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（4）与投标人的法定代表人或者负责人有夫妻、直系血亲、三代以内旁系血亲或者近姻亲关系；</w:t>
      </w:r>
    </w:p>
    <w:p w14:paraId="144B2843">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（5）与投标人有其他可能影响政府采购活动公平、公正进行的关系。</w:t>
      </w:r>
    </w:p>
    <w:p w14:paraId="20E7EB49">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008D2A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14.7 对线上采购项目，采购人或者采购代理机构将在</w:t>
      </w:r>
      <w:r>
        <w:rPr>
          <w:rFonts w:ascii="Times New Roman" w:hAnsi="Times New Roman"/>
          <w:b/>
          <w:color w:val="auto"/>
          <w:szCs w:val="21"/>
          <w:highlight w:val="none"/>
        </w:rPr>
        <w:t>投标人须知前附表</w:t>
      </w:r>
      <w:r>
        <w:rPr>
          <w:rFonts w:ascii="Times New Roman" w:hAnsi="Times New Roman"/>
          <w:color w:val="auto"/>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14:paraId="3F58FF21">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15</w:t>
      </w:r>
      <w:r>
        <w:rPr>
          <w:rFonts w:ascii="Times New Roman" w:hAnsi="Times New Roman"/>
          <w:color w:val="auto"/>
          <w:szCs w:val="21"/>
          <w:highlight w:val="none"/>
        </w:rPr>
        <w:t>．</w:t>
      </w:r>
      <w:r>
        <w:rPr>
          <w:rFonts w:ascii="Times New Roman" w:hAnsi="Times New Roman"/>
          <w:b/>
          <w:color w:val="auto"/>
          <w:szCs w:val="21"/>
          <w:highlight w:val="none"/>
        </w:rPr>
        <w:t>投标资格审查</w:t>
      </w:r>
    </w:p>
    <w:p w14:paraId="0F66342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15.1 公开招标采购项目开标结束后，由采购人或者采购代理机构依法对投标人的资格进行审查，以确定投标人是否具备投标资格。</w:t>
      </w:r>
    </w:p>
    <w:p w14:paraId="7FA46EB8">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15.1.1 审查投标人按照8.2.1提交的</w:t>
      </w:r>
      <w:r>
        <w:rPr>
          <w:rFonts w:ascii="Times New Roman" w:hAnsi="Times New Roman"/>
          <w:b/>
          <w:color w:val="auto"/>
          <w:szCs w:val="21"/>
          <w:highlight w:val="none"/>
        </w:rPr>
        <w:t>“资格证明文件”</w:t>
      </w:r>
      <w:r>
        <w:rPr>
          <w:rFonts w:ascii="Times New Roman" w:hAnsi="Times New Roman"/>
          <w:color w:val="auto"/>
          <w:szCs w:val="21"/>
          <w:highlight w:val="none"/>
        </w:rPr>
        <w:t>。</w:t>
      </w:r>
    </w:p>
    <w:p w14:paraId="18A2ABCE">
      <w:pPr>
        <w:topLinePunct/>
        <w:autoSpaceDE w:val="0"/>
        <w:autoSpaceDN w:val="0"/>
        <w:adjustRightInd w:val="0"/>
        <w:snapToGrid w:val="0"/>
        <w:spacing w:line="360" w:lineRule="auto"/>
        <w:ind w:firstLine="420" w:firstLineChars="200"/>
        <w:rPr>
          <w:rFonts w:ascii="Times New Roman" w:hAnsi="Times New Roman"/>
          <w:b/>
          <w:bCs/>
          <w:color w:val="auto"/>
          <w:szCs w:val="21"/>
          <w:highlight w:val="none"/>
        </w:rPr>
      </w:pPr>
      <w:r>
        <w:rPr>
          <w:rFonts w:ascii="Times New Roman" w:hAnsi="Times New Roman"/>
          <w:color w:val="auto"/>
          <w:szCs w:val="21"/>
          <w:highlight w:val="none"/>
        </w:rPr>
        <w:t>15.1.2 信用记录审查。</w:t>
      </w:r>
      <w:r>
        <w:rPr>
          <w:rFonts w:ascii="Times New Roman" w:hAnsi="Times New Roman"/>
          <w:b/>
          <w:bCs/>
          <w:color w:val="auto"/>
          <w:szCs w:val="21"/>
          <w:highlight w:val="none"/>
        </w:rPr>
        <w:t>见投标人须知前附表。</w:t>
      </w:r>
    </w:p>
    <w:p w14:paraId="6BA99DF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15.2 未通过资格审查的投标人，其投标无效。</w:t>
      </w:r>
    </w:p>
    <w:p w14:paraId="2F56797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15.3 合格投标人不足3家的，不得评标。</w:t>
      </w:r>
    </w:p>
    <w:p w14:paraId="6C6E8699">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16</w:t>
      </w:r>
      <w:r>
        <w:rPr>
          <w:rFonts w:ascii="Times New Roman" w:hAnsi="Times New Roman"/>
          <w:color w:val="auto"/>
          <w:szCs w:val="21"/>
          <w:highlight w:val="none"/>
        </w:rPr>
        <w:t>．</w:t>
      </w:r>
      <w:r>
        <w:rPr>
          <w:rFonts w:ascii="Times New Roman" w:hAnsi="Times New Roman"/>
          <w:b/>
          <w:color w:val="auto"/>
          <w:szCs w:val="21"/>
          <w:highlight w:val="none"/>
        </w:rPr>
        <w:t>评标委员会的组成</w:t>
      </w:r>
    </w:p>
    <w:p w14:paraId="4E0F9D6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采购人或者采购代理机构根据有关法律法规规定组建评标委员会，评标委员会由采购人代表和评审专家组成。</w:t>
      </w:r>
    </w:p>
    <w:p w14:paraId="7BC26827">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17</w:t>
      </w:r>
      <w:r>
        <w:rPr>
          <w:rFonts w:ascii="Times New Roman" w:hAnsi="Times New Roman"/>
          <w:color w:val="auto"/>
          <w:szCs w:val="21"/>
          <w:highlight w:val="none"/>
        </w:rPr>
        <w:t>．</w:t>
      </w:r>
      <w:r>
        <w:rPr>
          <w:rFonts w:ascii="Times New Roman" w:hAnsi="Times New Roman"/>
          <w:b/>
          <w:color w:val="auto"/>
          <w:szCs w:val="21"/>
          <w:highlight w:val="none"/>
        </w:rPr>
        <w:t>投标符合性审查</w:t>
      </w:r>
    </w:p>
    <w:p w14:paraId="79F8D6BA">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评标委员会对符合资格的投标人的投标文件进行符合性审查，以确定其是否符合招标文件的商务、技术等实质性要求。</w:t>
      </w:r>
    </w:p>
    <w:p w14:paraId="4F7CBD3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未通过符合性审查的投标人，其投标无效。</w:t>
      </w:r>
    </w:p>
    <w:p w14:paraId="0706B5E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17.3 通过符合性审查的投标人不足3家的，应予以废标。</w:t>
      </w:r>
    </w:p>
    <w:p w14:paraId="4B029269">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18</w:t>
      </w:r>
      <w:r>
        <w:rPr>
          <w:rFonts w:ascii="Times New Roman" w:hAnsi="Times New Roman"/>
          <w:color w:val="auto"/>
          <w:szCs w:val="21"/>
          <w:highlight w:val="none"/>
        </w:rPr>
        <w:t>．</w:t>
      </w:r>
      <w:r>
        <w:rPr>
          <w:rFonts w:ascii="Times New Roman" w:hAnsi="Times New Roman"/>
          <w:b/>
          <w:color w:val="auto"/>
          <w:szCs w:val="21"/>
          <w:highlight w:val="none"/>
        </w:rPr>
        <w:t>投标文件的澄清</w:t>
      </w:r>
    </w:p>
    <w:p w14:paraId="11F8CA53">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7CECE3AA">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14:paraId="16860B69">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18.3关于投标描述（即投标文件中描述的内容）</w:t>
      </w:r>
    </w:p>
    <w:p w14:paraId="2C44DD49">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（1）投标描述前后不一致且不涉及证明材料的：按照本节第18.1条规定执行。</w:t>
      </w:r>
    </w:p>
    <w:p w14:paraId="5F9B4355">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（2）投标描述与证明材料不一致或多份证明材料之间不一致的：</w:t>
      </w:r>
    </w:p>
    <w:p w14:paraId="2D070673">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①评标委员会将要求投标人进行书面澄清，无法澄清的将按照不利于投标人的内容进行评标。</w:t>
      </w:r>
    </w:p>
    <w:p w14:paraId="779AA841">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A8E8C4">
      <w:pPr>
        <w:pStyle w:val="25"/>
        <w:widowControl w:val="0"/>
        <w:spacing w:line="360" w:lineRule="auto"/>
        <w:ind w:firstLine="420" w:firstLineChars="200"/>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428C2A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18.4 除评标委员会要求投标人做出的澄清、说明或者补正以外，评标委员会不接受投标人的任何询问、说明、更改及文件。</w:t>
      </w:r>
    </w:p>
    <w:p w14:paraId="0EEF7F5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18.5 投标人的澄清必须在规定的时间内提交。</w:t>
      </w:r>
    </w:p>
    <w:p w14:paraId="5BAADE53">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19</w:t>
      </w:r>
      <w:r>
        <w:rPr>
          <w:rFonts w:ascii="Times New Roman" w:hAnsi="Times New Roman"/>
          <w:color w:val="auto"/>
          <w:szCs w:val="21"/>
          <w:highlight w:val="none"/>
        </w:rPr>
        <w:t>．</w:t>
      </w:r>
      <w:r>
        <w:rPr>
          <w:rFonts w:ascii="Times New Roman" w:hAnsi="Times New Roman"/>
          <w:b/>
          <w:color w:val="auto"/>
          <w:szCs w:val="21"/>
          <w:highlight w:val="none"/>
        </w:rPr>
        <w:t>核价原则</w:t>
      </w:r>
    </w:p>
    <w:p w14:paraId="3FB627C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bCs/>
          <w:color w:val="auto"/>
          <w:szCs w:val="21"/>
          <w:highlight w:val="none"/>
        </w:rPr>
        <w:t xml:space="preserve">19.1 </w:t>
      </w:r>
      <w:r>
        <w:rPr>
          <w:rFonts w:ascii="Times New Roman" w:hAnsi="Times New Roman"/>
          <w:color w:val="auto"/>
          <w:szCs w:val="21"/>
          <w:highlight w:val="none"/>
        </w:rPr>
        <w:t>投标文件报价出现前后不一致的，除招标文件另有规定外，按照下列规定修正：</w:t>
      </w:r>
    </w:p>
    <w:p w14:paraId="06FC9A6A">
      <w:pPr>
        <w:overflowPunct w:val="0"/>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（1）投标文件中开标一览表（总报价表）内容与投标文件中相应内容不一致的，以开标一览表（总报价表）为准；</w:t>
      </w:r>
    </w:p>
    <w:p w14:paraId="6A7728D7">
      <w:pPr>
        <w:overflowPunct w:val="0"/>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（2）大写金额和小写金额不一致的，以大写金额为准；</w:t>
      </w:r>
    </w:p>
    <w:p w14:paraId="04C4846B">
      <w:pPr>
        <w:overflowPunct w:val="0"/>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（3）单价金额小数点或者百分比有明显错位的，以开标一览表的总价为准，并修改单价；</w:t>
      </w:r>
    </w:p>
    <w:p w14:paraId="7E9CB8D5">
      <w:pPr>
        <w:overflowPunct w:val="0"/>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（4）总价金额与按单价汇总金额不一致的，以单价金额计算结果为准。</w:t>
      </w:r>
    </w:p>
    <w:p w14:paraId="53E6EA96">
      <w:pPr>
        <w:overflowPunct w:val="0"/>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（5）同时出现两种以上不一致的，按照前款规定的顺序修正。修正后的报价按照18.2条的规定经投标人确认后产生约束力，投标人不确认的，其投标无效。</w:t>
      </w:r>
    </w:p>
    <w:p w14:paraId="36972067">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20</w:t>
      </w:r>
      <w:r>
        <w:rPr>
          <w:rFonts w:ascii="Times New Roman" w:hAnsi="Times New Roman"/>
          <w:color w:val="auto"/>
          <w:szCs w:val="21"/>
          <w:highlight w:val="none"/>
        </w:rPr>
        <w:t>．</w:t>
      </w:r>
      <w:r>
        <w:rPr>
          <w:rFonts w:ascii="Times New Roman" w:hAnsi="Times New Roman"/>
          <w:b/>
          <w:color w:val="auto"/>
          <w:szCs w:val="21"/>
          <w:highlight w:val="none"/>
        </w:rPr>
        <w:t>投标无效</w:t>
      </w:r>
    </w:p>
    <w:p w14:paraId="72B43677">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20.1 投标人及投标文件有下列情况之一的，应当在资格审查时按照投标无效处理：</w:t>
      </w:r>
    </w:p>
    <w:p w14:paraId="147A309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不具备招标文件中规定的资格要求的；</w:t>
      </w:r>
    </w:p>
    <w:p w14:paraId="020851B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投标文件组成中“资格证明文件”未提供或无效的；</w:t>
      </w:r>
    </w:p>
    <w:p w14:paraId="27B9197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未通过信用记录审查或未提供相关证明材料的。</w:t>
      </w:r>
    </w:p>
    <w:p w14:paraId="50F6893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20.2 投标人及投标文件有下列情况之一的，应当在符合性审查时按照投标无效处理：</w:t>
      </w:r>
    </w:p>
    <w:p w14:paraId="7720C5B3">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投标文件组成中除“资格证明文件”外，★条款相关文件及资料未提供或提供无效的；</w:t>
      </w:r>
    </w:p>
    <w:p w14:paraId="4D308BA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投标文件未按招标文件要求签署、盖章的；</w:t>
      </w:r>
    </w:p>
    <w:p w14:paraId="0F886E96">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投标报价超过招标文件中规定的预算金额或者最高限价的；</w:t>
      </w:r>
    </w:p>
    <w:p w14:paraId="7B7FB96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 投标有效期不足的；</w:t>
      </w:r>
    </w:p>
    <w:p w14:paraId="1B22720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 投标文件含有采购人不能接受的附加条件的；</w:t>
      </w:r>
    </w:p>
    <w:p w14:paraId="33B1939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20.3 除20.1及20.2情形外，投标人及投标文件有下列情况之一的，应当按照投标无效处理：</w:t>
      </w:r>
    </w:p>
    <w:p w14:paraId="1AD33C7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提供虚假投标文件材料的；</w:t>
      </w:r>
    </w:p>
    <w:p w14:paraId="6CFF1DF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投标人串通投标的；</w:t>
      </w:r>
    </w:p>
    <w:p w14:paraId="10303136">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投标报价明显低于其他通过符合性审查投标人的报价，且不能证明其报价合理性的。</w:t>
      </w:r>
    </w:p>
    <w:p w14:paraId="423937C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 法律、法规和招标文件规定的其他无效情形。</w:t>
      </w:r>
    </w:p>
    <w:p w14:paraId="29C461E6">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21</w:t>
      </w:r>
      <w:r>
        <w:rPr>
          <w:rFonts w:ascii="Times New Roman" w:hAnsi="Times New Roman"/>
          <w:color w:val="auto"/>
          <w:szCs w:val="21"/>
          <w:highlight w:val="none"/>
        </w:rPr>
        <w:t>．</w:t>
      </w:r>
      <w:r>
        <w:rPr>
          <w:rFonts w:ascii="Times New Roman" w:hAnsi="Times New Roman"/>
          <w:b/>
          <w:color w:val="auto"/>
          <w:szCs w:val="21"/>
          <w:highlight w:val="none"/>
        </w:rPr>
        <w:t>比较与评价</w:t>
      </w:r>
    </w:p>
    <w:p w14:paraId="54416108">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21.1 评标委员会按照招标文件中规定的评标方法和标准，对符合性审查合格的投标文件进行商务和技术评估，综合比较与评价。</w:t>
      </w:r>
    </w:p>
    <w:p w14:paraId="2CEDDBC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21.2 价格分应当采用低价优先法计算。小型、微型企业和监狱企业、残疾人福利性单位的投标报价按照</w:t>
      </w:r>
      <w:r>
        <w:rPr>
          <w:rFonts w:ascii="Times New Roman" w:hAnsi="Times New Roman"/>
          <w:b/>
          <w:color w:val="auto"/>
          <w:szCs w:val="21"/>
          <w:highlight w:val="none"/>
        </w:rPr>
        <w:t>投标人须知前附表</w:t>
      </w:r>
      <w:r>
        <w:rPr>
          <w:rFonts w:ascii="Times New Roman" w:hAnsi="Times New Roman"/>
          <w:color w:val="auto"/>
          <w:szCs w:val="21"/>
          <w:highlight w:val="none"/>
        </w:rPr>
        <w:t>规定，分别给予扣除，并以扣除后的报价计算价格分。未提供《中小型企业声明函》、《监狱企业证明文件》、《残疾人福利性单位声明函》的，价格不予扣除。同一投标人不得重复享受价格扣除政策。</w:t>
      </w:r>
    </w:p>
    <w:p w14:paraId="4A84510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21.3 评标委员会各成员独立对每个投标人的投标文件进行评价，并汇总得出每个投标人的评审得分。</w:t>
      </w:r>
    </w:p>
    <w:p w14:paraId="04AC91B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D50EED">
      <w:pPr>
        <w:topLinePunct/>
        <w:autoSpaceDE w:val="0"/>
        <w:autoSpaceDN w:val="0"/>
        <w:adjustRightInd w:val="0"/>
        <w:snapToGrid w:val="0"/>
        <w:spacing w:line="360" w:lineRule="auto"/>
        <w:ind w:firstLine="420" w:firstLineChars="200"/>
        <w:rPr>
          <w:rFonts w:ascii="Times New Roman" w:hAnsi="Times New Roman"/>
          <w:b/>
          <w:color w:val="auto"/>
          <w:szCs w:val="21"/>
          <w:highlight w:val="none"/>
        </w:rPr>
      </w:pPr>
      <w:r>
        <w:rPr>
          <w:rFonts w:ascii="Times New Roman" w:hAnsi="Times New Roman"/>
          <w:color w:val="auto"/>
          <w:szCs w:val="21"/>
          <w:highlight w:val="none"/>
        </w:rPr>
        <w:t>21.5 评标方法及标准</w:t>
      </w:r>
      <w:r>
        <w:rPr>
          <w:rFonts w:ascii="Times New Roman" w:hAnsi="Times New Roman"/>
          <w:b/>
          <w:color w:val="auto"/>
          <w:szCs w:val="21"/>
          <w:highlight w:val="none"/>
        </w:rPr>
        <w:t>详见招标文件商务部分第三章。</w:t>
      </w:r>
    </w:p>
    <w:p w14:paraId="2C6CC45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7E1E5E66">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22</w:t>
      </w:r>
      <w:r>
        <w:rPr>
          <w:rFonts w:ascii="Times New Roman" w:hAnsi="Times New Roman"/>
          <w:color w:val="auto"/>
          <w:szCs w:val="21"/>
          <w:highlight w:val="none"/>
        </w:rPr>
        <w:t>．</w:t>
      </w:r>
      <w:r>
        <w:rPr>
          <w:rFonts w:ascii="Times New Roman" w:hAnsi="Times New Roman"/>
          <w:b/>
          <w:color w:val="auto"/>
          <w:szCs w:val="21"/>
          <w:highlight w:val="none"/>
        </w:rPr>
        <w:t>废标</w:t>
      </w:r>
    </w:p>
    <w:p w14:paraId="2D645238">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22.1 在招标采购中，出现下列情形之一的，应予废标：</w:t>
      </w:r>
    </w:p>
    <w:p w14:paraId="3DBE11B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（1）符合专业条件的供应商或者对招标文件作实质响应的供应商不足三家的；</w:t>
      </w:r>
    </w:p>
    <w:p w14:paraId="2454204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（2）出现影响采购公正的违法、违规行为的；</w:t>
      </w:r>
    </w:p>
    <w:p w14:paraId="36FA968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（3）投标人的报价均超过了采购预算，采购人不能支付的；</w:t>
      </w:r>
    </w:p>
    <w:p w14:paraId="43ADA98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（4）因重大变故，采购任务取消的。</w:t>
      </w:r>
    </w:p>
    <w:p w14:paraId="141759C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22.2 废标后，采购人或者采购代理机构将废标理由通知所有投标人。</w:t>
      </w:r>
    </w:p>
    <w:p w14:paraId="6E1EFA69">
      <w:pPr>
        <w:spacing w:line="360" w:lineRule="auto"/>
        <w:ind w:firstLine="420" w:firstLineChars="200"/>
        <w:rPr>
          <w:rFonts w:hint="eastAsia" w:ascii="黑体" w:hAnsi="黑体" w:eastAsia="黑体" w:cs="黑体"/>
          <w:color w:val="auto"/>
          <w:highlight w:val="none"/>
        </w:rPr>
      </w:pPr>
      <w:bookmarkStart w:id="8" w:name="_Toc132880279"/>
      <w:r>
        <w:rPr>
          <w:rFonts w:hint="eastAsia" w:ascii="黑体" w:hAnsi="黑体" w:eastAsia="黑体" w:cs="黑体"/>
          <w:color w:val="auto"/>
          <w:highlight w:val="none"/>
        </w:rPr>
        <w:t>六、中标和合同</w:t>
      </w:r>
      <w:bookmarkEnd w:id="8"/>
    </w:p>
    <w:p w14:paraId="31C9D4E7">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23</w:t>
      </w:r>
      <w:r>
        <w:rPr>
          <w:rFonts w:ascii="Times New Roman" w:hAnsi="Times New Roman"/>
          <w:color w:val="auto"/>
          <w:szCs w:val="21"/>
          <w:highlight w:val="none"/>
        </w:rPr>
        <w:t>．</w:t>
      </w:r>
      <w:r>
        <w:rPr>
          <w:rFonts w:ascii="Times New Roman" w:hAnsi="Times New Roman"/>
          <w:b/>
          <w:color w:val="auto"/>
          <w:szCs w:val="21"/>
          <w:highlight w:val="none"/>
        </w:rPr>
        <w:t>中标</w:t>
      </w:r>
    </w:p>
    <w:p w14:paraId="1D55427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5A5360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采购人自行组织招标的，采购人应当在评标结束后5个工作日内，按评标报告推荐的中标候选人顺序确定中标人。</w:t>
      </w:r>
    </w:p>
    <w:p w14:paraId="54F88BF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23.2 采购人或者采购代理机构应当自中标人确定之日起2个工作日内，在</w:t>
      </w:r>
      <w:r>
        <w:rPr>
          <w:rFonts w:ascii="Times New Roman" w:hAnsi="Times New Roman"/>
          <w:b/>
          <w:color w:val="auto"/>
          <w:szCs w:val="21"/>
          <w:highlight w:val="none"/>
        </w:rPr>
        <w:t>投标人须知前附表</w:t>
      </w:r>
      <w:r>
        <w:rPr>
          <w:rFonts w:ascii="Times New Roman" w:hAnsi="Times New Roman"/>
          <w:color w:val="auto"/>
          <w:szCs w:val="21"/>
          <w:highlight w:val="none"/>
        </w:rPr>
        <w:t>规定的媒体上公告中标结果，招标文件应随中标结果同时公告。中标公告期限为1个工作日。</w:t>
      </w:r>
    </w:p>
    <w:p w14:paraId="3C1D8556">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14:paraId="4BDE2D1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23.4 中标通知书发出后，采购人或者采购代理机构不得违法改变中标结果，中标人无正当理由不得放弃中标。</w:t>
      </w:r>
    </w:p>
    <w:p w14:paraId="3A86A757">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23.5 中标通知书对采购人和中标人具有同等法律效力。</w:t>
      </w:r>
    </w:p>
    <w:p w14:paraId="4BC0F072">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24</w:t>
      </w:r>
      <w:r>
        <w:rPr>
          <w:rFonts w:ascii="Times New Roman" w:hAnsi="Times New Roman"/>
          <w:color w:val="auto"/>
          <w:szCs w:val="21"/>
          <w:highlight w:val="none"/>
        </w:rPr>
        <w:t>．</w:t>
      </w:r>
      <w:r>
        <w:rPr>
          <w:rFonts w:ascii="Times New Roman" w:hAnsi="Times New Roman"/>
          <w:b/>
          <w:color w:val="auto"/>
          <w:szCs w:val="21"/>
          <w:highlight w:val="none"/>
        </w:rPr>
        <w:t>签订合同</w:t>
      </w:r>
    </w:p>
    <w:p w14:paraId="12FE411B">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 采购人应当自中标通知书发出之日起30日内，按照招标文件和中标人投标文件的规定，与中标人签订合同。</w:t>
      </w:r>
      <w:r>
        <w:rPr>
          <w:rFonts w:ascii="Times New Roman" w:hAnsi="Times New Roman"/>
          <w:color w:val="auto"/>
          <w:szCs w:val="21"/>
          <w:highlight w:val="none"/>
          <w:u w:val="single"/>
        </w:rPr>
        <w:t>线上采购项目可通过评审管理系统签订合同</w:t>
      </w:r>
      <w:r>
        <w:rPr>
          <w:rFonts w:ascii="Times New Roman" w:hAnsi="Times New Roman"/>
          <w:color w:val="auto"/>
          <w:szCs w:val="21"/>
          <w:highlight w:val="none"/>
        </w:rPr>
        <w:t>。</w:t>
      </w:r>
    </w:p>
    <w:p w14:paraId="5A2C60A0">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 所签订的合同不得对招标文件确定的事项和中标人投标文件作实质性修改。</w:t>
      </w:r>
    </w:p>
    <w:p w14:paraId="7D93EFF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 采购人不得向中标人提出任何不合理的要求作为签订合同的条件。</w:t>
      </w:r>
    </w:p>
    <w:p w14:paraId="4EF1B38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24.4 中标人拒绝与采购人签订合同的，采购人可以按照评审报告推荐的中标候选人名单排序，确定下一候选人为中标人，也可以重新开展政府采购活动。</w:t>
      </w:r>
    </w:p>
    <w:p w14:paraId="0F02EBDA">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25</w:t>
      </w:r>
      <w:r>
        <w:rPr>
          <w:rFonts w:ascii="Times New Roman" w:hAnsi="Times New Roman"/>
          <w:color w:val="auto"/>
          <w:szCs w:val="21"/>
          <w:highlight w:val="none"/>
        </w:rPr>
        <w:t>．</w:t>
      </w:r>
      <w:r>
        <w:rPr>
          <w:rFonts w:ascii="Times New Roman" w:hAnsi="Times New Roman"/>
          <w:b/>
          <w:color w:val="auto"/>
          <w:szCs w:val="21"/>
          <w:highlight w:val="none"/>
        </w:rPr>
        <w:t>履约保证金</w:t>
      </w:r>
    </w:p>
    <w:p w14:paraId="1D848F4C">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25.1 需提交履约保证金的项目，中标人应在合同签订之日起30日内，按照</w:t>
      </w:r>
      <w:r>
        <w:rPr>
          <w:rFonts w:ascii="Times New Roman" w:hAnsi="Times New Roman"/>
          <w:b/>
          <w:color w:val="auto"/>
          <w:szCs w:val="21"/>
          <w:highlight w:val="none"/>
        </w:rPr>
        <w:t>投标人须知前附表</w:t>
      </w:r>
      <w:r>
        <w:rPr>
          <w:rFonts w:ascii="Times New Roman" w:hAnsi="Times New Roman"/>
          <w:color w:val="auto"/>
          <w:szCs w:val="21"/>
          <w:highlight w:val="none"/>
        </w:rPr>
        <w:t>的规定，向采购人提交履约保证金。</w:t>
      </w:r>
    </w:p>
    <w:p w14:paraId="442AF0D0">
      <w:pPr>
        <w:spacing w:line="360" w:lineRule="auto"/>
        <w:ind w:firstLine="420" w:firstLineChars="200"/>
        <w:rPr>
          <w:rFonts w:hint="eastAsia" w:ascii="黑体" w:hAnsi="黑体" w:eastAsia="黑体" w:cs="黑体"/>
          <w:color w:val="auto"/>
          <w:highlight w:val="none"/>
        </w:rPr>
      </w:pPr>
      <w:bookmarkStart w:id="9" w:name="_Toc132880280"/>
      <w:r>
        <w:rPr>
          <w:rFonts w:hint="eastAsia" w:ascii="黑体" w:hAnsi="黑体" w:eastAsia="黑体" w:cs="黑体"/>
          <w:color w:val="auto"/>
          <w:highlight w:val="none"/>
        </w:rPr>
        <w:t>七、询问和质疑</w:t>
      </w:r>
      <w:bookmarkEnd w:id="9"/>
    </w:p>
    <w:p w14:paraId="7416414E">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26. 询问</w:t>
      </w:r>
    </w:p>
    <w:p w14:paraId="1EE8E0FA">
      <w:pPr>
        <w:topLinePunct/>
        <w:autoSpaceDE w:val="0"/>
        <w:autoSpaceDN w:val="0"/>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7D87FB4D">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27</w:t>
      </w:r>
      <w:r>
        <w:rPr>
          <w:rFonts w:ascii="Times New Roman" w:hAnsi="Times New Roman"/>
          <w:color w:val="auto"/>
          <w:szCs w:val="21"/>
          <w:highlight w:val="none"/>
        </w:rPr>
        <w:t>．</w:t>
      </w:r>
      <w:r>
        <w:rPr>
          <w:rFonts w:ascii="Times New Roman" w:hAnsi="Times New Roman"/>
          <w:b/>
          <w:color w:val="auto"/>
          <w:szCs w:val="21"/>
          <w:highlight w:val="none"/>
        </w:rPr>
        <w:t>质疑</w:t>
      </w:r>
    </w:p>
    <w:p w14:paraId="65AE5923">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ascii="Times New Roman" w:hAnsi="Times New Roman"/>
          <w:b/>
          <w:bCs/>
          <w:color w:val="auto"/>
          <w:szCs w:val="21"/>
          <w:highlight w:val="none"/>
        </w:rPr>
        <w:t>见</w:t>
      </w:r>
      <w:r>
        <w:rPr>
          <w:rFonts w:ascii="Times New Roman" w:hAnsi="Times New Roman"/>
          <w:b/>
          <w:color w:val="auto"/>
          <w:szCs w:val="21"/>
          <w:highlight w:val="none"/>
        </w:rPr>
        <w:t>投标人须知前附表</w:t>
      </w:r>
      <w:r>
        <w:rPr>
          <w:rFonts w:ascii="Times New Roman" w:hAnsi="Times New Roman"/>
          <w:color w:val="auto"/>
          <w:szCs w:val="21"/>
          <w:highlight w:val="none"/>
        </w:rPr>
        <w:t>。</w:t>
      </w:r>
    </w:p>
    <w:p w14:paraId="079CA1ED">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27.2在法定质疑期内，针对同一采购程序环节的质疑应一次性提出。</w:t>
      </w:r>
    </w:p>
    <w:p w14:paraId="7A670DD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27.3质疑人应知其权益受到损害之日，是指： </w:t>
      </w:r>
    </w:p>
    <w:p w14:paraId="2ABB042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（1）对可以质疑的采购文件提出质疑的，为收到采购文件之日或者采购文件公告期限届满之日；</w:t>
      </w:r>
    </w:p>
    <w:p w14:paraId="0FA2418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（2）对采购过程提出质疑的，为各采购程序环节结束之日；</w:t>
      </w:r>
    </w:p>
    <w:p w14:paraId="38B6C92E">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（3）对中标结果提出质疑的，为中标结果公告期限届满之日。</w:t>
      </w:r>
    </w:p>
    <w:p w14:paraId="28A3195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65C12324">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27.5 采购人或者代理机构应当在收到供应商的质疑函后7个工作日内，对质疑内容作出答复，</w:t>
      </w:r>
      <w:r>
        <w:rPr>
          <w:rFonts w:ascii="Times New Roman" w:hAnsi="Times New Roman"/>
          <w:bCs/>
          <w:color w:val="auto"/>
          <w:szCs w:val="21"/>
          <w:highlight w:val="none"/>
        </w:rPr>
        <w:t>书面形式</w:t>
      </w:r>
      <w:r>
        <w:rPr>
          <w:rFonts w:ascii="Times New Roman" w:hAnsi="Times New Roman"/>
          <w:color w:val="auto"/>
          <w:szCs w:val="21"/>
          <w:highlight w:val="none"/>
        </w:rPr>
        <w:t>通知质疑供应商和其他有关供应商，但答复内容不得涉及商业秘密。</w:t>
      </w:r>
    </w:p>
    <w:p w14:paraId="1F9481D9">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7DF2130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27.7投诉应当有明确的请求和必要的证明材料。投诉的事项不得超出已质疑事项的范围。</w:t>
      </w:r>
    </w:p>
    <w:p w14:paraId="1422B9D2">
      <w:pPr>
        <w:spacing w:line="360" w:lineRule="auto"/>
        <w:ind w:firstLine="420" w:firstLineChars="200"/>
        <w:rPr>
          <w:rFonts w:hint="eastAsia" w:ascii="黑体" w:hAnsi="黑体" w:eastAsia="黑体" w:cs="黑体"/>
          <w:color w:val="auto"/>
          <w:highlight w:val="none"/>
        </w:rPr>
      </w:pPr>
      <w:bookmarkStart w:id="10" w:name="_Toc132880281"/>
      <w:r>
        <w:rPr>
          <w:rFonts w:hint="eastAsia" w:ascii="黑体" w:hAnsi="黑体" w:eastAsia="黑体" w:cs="黑体"/>
          <w:color w:val="auto"/>
          <w:highlight w:val="none"/>
        </w:rPr>
        <w:t>八、其他</w:t>
      </w:r>
      <w:bookmarkEnd w:id="10"/>
    </w:p>
    <w:p w14:paraId="139EC510">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bookmarkStart w:id="11" w:name="_Toc233181902"/>
      <w:bookmarkStart w:id="12" w:name="_Toc217989361"/>
      <w:bookmarkStart w:id="13" w:name="_Toc319519285"/>
      <w:bookmarkStart w:id="14" w:name="_Toc262111390"/>
      <w:r>
        <w:rPr>
          <w:rFonts w:ascii="Times New Roman" w:hAnsi="Times New Roman"/>
          <w:b/>
          <w:color w:val="auto"/>
          <w:szCs w:val="21"/>
          <w:highlight w:val="none"/>
        </w:rPr>
        <w:t>28</w:t>
      </w:r>
      <w:r>
        <w:rPr>
          <w:rFonts w:ascii="Times New Roman" w:hAnsi="Times New Roman"/>
          <w:color w:val="auto"/>
          <w:szCs w:val="21"/>
          <w:highlight w:val="none"/>
        </w:rPr>
        <w:t>．</w:t>
      </w:r>
      <w:r>
        <w:rPr>
          <w:rFonts w:ascii="Times New Roman" w:hAnsi="Times New Roman"/>
          <w:b/>
          <w:color w:val="auto"/>
          <w:szCs w:val="21"/>
          <w:highlight w:val="none"/>
        </w:rPr>
        <w:t>保密</w:t>
      </w:r>
    </w:p>
    <w:p w14:paraId="63DEACF8">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44DB88E2">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28.2 评标委员会成员和参与评标工作的有关人员对评标情况以及在评标过程中获悉的国家秘密、商业秘密负有保密责任。</w:t>
      </w:r>
    </w:p>
    <w:p w14:paraId="35AEF423">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29. 知识产权与规避专利、版权纠纷</w:t>
      </w:r>
      <w:bookmarkEnd w:id="11"/>
      <w:bookmarkEnd w:id="12"/>
      <w:bookmarkEnd w:id="13"/>
      <w:bookmarkEnd w:id="14"/>
    </w:p>
    <w:p w14:paraId="7C128F65">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29.1 知识产权</w:t>
      </w:r>
    </w:p>
    <w:p w14:paraId="42B8F774">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23D4C527">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29.2 规避专利、版权纠纷</w:t>
      </w:r>
    </w:p>
    <w:p w14:paraId="130E953F">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29.2.1 投标人应保证其投标方案中的有关软件、文件、图纸等没有违反有关专利和版权等知识产权的规定。</w:t>
      </w:r>
    </w:p>
    <w:p w14:paraId="21E1AA72">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29.2.2 中标人应保证采购人在中华人民共和国使用本项目成果任何一部分、或接受乙方服务时，免受第三方提出的侵犯其专利权、商标权或工业设计权等知识产权的索赔或起诉。</w:t>
      </w:r>
    </w:p>
    <w:p w14:paraId="7BF9C22C">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240A15FF">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21CA88C4">
      <w:pPr>
        <w:spacing w:line="360" w:lineRule="auto"/>
        <w:rPr>
          <w:rFonts w:ascii="Times New Roman" w:hAnsi="Times New Roman"/>
          <w:color w:val="auto"/>
          <w:szCs w:val="21"/>
          <w:highlight w:val="none"/>
        </w:rPr>
        <w:sectPr>
          <w:pgSz w:w="11906" w:h="16838"/>
          <w:pgMar w:top="1440" w:right="1752" w:bottom="1440" w:left="1752" w:header="851" w:footer="992" w:gutter="0"/>
          <w:cols w:space="720" w:num="1"/>
          <w:titlePg/>
          <w:docGrid w:type="lines" w:linePitch="312" w:charSpace="0"/>
        </w:sectPr>
      </w:pPr>
    </w:p>
    <w:p w14:paraId="6BC6F8F2">
      <w:pPr>
        <w:jc w:val="center"/>
        <w:rPr>
          <w:rFonts w:ascii="Times New Roman" w:hAnsi="Times New Roman"/>
          <w:b/>
          <w:color w:val="auto"/>
          <w:szCs w:val="21"/>
          <w:highlight w:val="none"/>
        </w:rPr>
      </w:pPr>
      <w:bookmarkStart w:id="15" w:name="_Toc1168671576"/>
      <w:bookmarkStart w:id="16" w:name="_Toc525052846"/>
      <w:bookmarkStart w:id="17" w:name="_Toc1298913388"/>
      <w:bookmarkStart w:id="18" w:name="_Toc1481241717"/>
      <w:bookmarkStart w:id="19" w:name="_Toc1762322514"/>
      <w:bookmarkStart w:id="20" w:name="_Toc1380332034"/>
      <w:bookmarkStart w:id="21" w:name="_Toc937455070"/>
      <w:bookmarkStart w:id="22" w:name="_Toc38030149"/>
      <w:bookmarkStart w:id="23" w:name="_Toc132880282"/>
      <w:r>
        <w:rPr>
          <w:rFonts w:hint="eastAsia" w:ascii="华文中宋" w:hAnsi="华文中宋" w:eastAsia="华文中宋" w:cs="华文中宋"/>
          <w:color w:val="auto"/>
          <w:sz w:val="28"/>
          <w:szCs w:val="28"/>
          <w:highlight w:val="none"/>
        </w:rPr>
        <w:t>第三章  评标方法及标准</w:t>
      </w:r>
      <w:bookmarkEnd w:id="15"/>
      <w:bookmarkEnd w:id="16"/>
      <w:bookmarkEnd w:id="17"/>
      <w:bookmarkEnd w:id="18"/>
      <w:bookmarkEnd w:id="19"/>
      <w:bookmarkEnd w:id="20"/>
      <w:bookmarkEnd w:id="21"/>
      <w:bookmarkEnd w:id="22"/>
      <w:bookmarkEnd w:id="23"/>
    </w:p>
    <w:p w14:paraId="0EFB5E66">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1.评标方法</w:t>
      </w:r>
    </w:p>
    <w:p w14:paraId="02A7BBAF">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 本项目评标方法：</w:t>
      </w:r>
      <w:r>
        <w:rPr>
          <w:rFonts w:ascii="Times New Roman" w:hAnsi="Times New Roman"/>
          <w:b/>
          <w:color w:val="auto"/>
          <w:szCs w:val="21"/>
          <w:highlight w:val="none"/>
          <w:u w:val="single"/>
        </w:rPr>
        <w:t>采用综合评分法</w:t>
      </w:r>
    </w:p>
    <w:p w14:paraId="69605A48">
      <w:pPr>
        <w:topLinePunct/>
        <w:autoSpaceDE w:val="0"/>
        <w:autoSpaceDN w:val="0"/>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2.评标标准</w:t>
      </w:r>
    </w:p>
    <w:p w14:paraId="0582963E">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2.1 本项目</w:t>
      </w:r>
      <w:r>
        <w:rPr>
          <w:rFonts w:hint="default" w:ascii="Times New Roman" w:hAnsi="Times New Roman"/>
          <w:b/>
          <w:color w:val="auto"/>
          <w:sz w:val="21"/>
          <w:szCs w:val="21"/>
          <w:highlight w:val="none"/>
          <w:u w:val="single"/>
        </w:rPr>
        <w:t>采用综合评分法</w:t>
      </w:r>
      <w:r>
        <w:rPr>
          <w:rFonts w:hint="default" w:ascii="Times New Roman" w:hAnsi="Times New Roman"/>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14:paraId="4D02A486">
      <w:pPr>
        <w:topLinePunct/>
        <w:autoSpaceDE w:val="0"/>
        <w:autoSpaceDN w:val="0"/>
        <w:spacing w:line="360" w:lineRule="auto"/>
        <w:ind w:firstLine="420" w:firstLineChars="200"/>
        <w:rPr>
          <w:rFonts w:hint="eastAsia" w:ascii="宋体" w:hAnsi="宋体" w:cs="宋体"/>
          <w:color w:val="auto"/>
          <w:sz w:val="24"/>
          <w:highlight w:val="none"/>
        </w:rPr>
      </w:pPr>
      <w:r>
        <w:rPr>
          <w:rFonts w:ascii="Times New Roman" w:hAnsi="Times New Roman"/>
          <w:color w:val="auto"/>
          <w:szCs w:val="21"/>
          <w:highlight w:val="none"/>
        </w:rPr>
        <w:t>2.2 本项目价格分值为</w:t>
      </w:r>
      <w:r>
        <w:rPr>
          <w:rFonts w:hint="eastAsia" w:ascii="Times New Roman" w:hAnsi="Times New Roman"/>
          <w:color w:val="auto"/>
          <w:szCs w:val="21"/>
          <w:highlight w:val="none"/>
          <w:u w:val="single"/>
        </w:rPr>
        <w:t>10</w:t>
      </w:r>
      <w:r>
        <w:rPr>
          <w:rFonts w:ascii="Times New Roman" w:hAnsi="Times New Roman"/>
          <w:color w:val="auto"/>
          <w:szCs w:val="21"/>
          <w:highlight w:val="none"/>
        </w:rPr>
        <w:t>分，其余评审因素分值为</w:t>
      </w:r>
      <w:r>
        <w:rPr>
          <w:rFonts w:hint="eastAsia" w:ascii="Times New Roman" w:hAnsi="Times New Roman"/>
          <w:color w:val="auto"/>
          <w:szCs w:val="21"/>
          <w:highlight w:val="none"/>
          <w:u w:val="single"/>
        </w:rPr>
        <w:t>90</w:t>
      </w:r>
      <w:r>
        <w:rPr>
          <w:rFonts w:ascii="Times New Roman" w:hAnsi="Times New Roman"/>
          <w:color w:val="auto"/>
          <w:szCs w:val="21"/>
          <w:highlight w:val="none"/>
        </w:rPr>
        <w:t>分</w:t>
      </w:r>
      <w:r>
        <w:rPr>
          <w:rFonts w:hint="eastAsia" w:ascii="宋体" w:hAnsi="宋体" w:cs="宋体"/>
          <w:color w:val="auto"/>
          <w:highlight w:val="none"/>
        </w:rPr>
        <w:t>（其中商务因素21分，技术因素69分）</w:t>
      </w:r>
      <w:r>
        <w:rPr>
          <w:rFonts w:ascii="Times New Roman" w:hAnsi="Times New Roman"/>
          <w:color w:val="auto"/>
          <w:szCs w:val="21"/>
          <w:highlight w:val="none"/>
        </w:rPr>
        <w:t>。</w:t>
      </w:r>
    </w:p>
    <w:p w14:paraId="0EE797B0">
      <w:pPr>
        <w:pStyle w:val="2"/>
        <w:ind w:firstLine="420" w:firstLineChars="200"/>
        <w:rPr>
          <w:rFonts w:hint="eastAsia" w:ascii="宋体" w:hAnsi="宋体" w:cs="宋体"/>
          <w:color w:val="auto"/>
          <w:highlight w:val="none"/>
        </w:rPr>
      </w:pPr>
      <w:r>
        <w:rPr>
          <w:rFonts w:hint="eastAsia" w:ascii="宋体" w:hAnsi="宋体" w:cs="宋体"/>
          <w:color w:val="auto"/>
          <w:highlight w:val="none"/>
        </w:rPr>
        <w:t>各部份评分分值分布如下：</w:t>
      </w:r>
    </w:p>
    <w:p w14:paraId="1F617352">
      <w:pPr>
        <w:pStyle w:val="2"/>
        <w:ind w:firstLine="420" w:firstLineChars="200"/>
        <w:rPr>
          <w:rFonts w:hint="eastAsia" w:ascii="宋体" w:hAnsi="宋体" w:cs="宋体"/>
          <w:color w:val="auto"/>
          <w:highlight w:val="none"/>
        </w:rPr>
      </w:pPr>
      <w:r>
        <w:rPr>
          <w:rFonts w:hint="eastAsia" w:ascii="宋体" w:hAnsi="宋体" w:cs="宋体"/>
          <w:color w:val="auto"/>
          <w:highlight w:val="none"/>
        </w:rPr>
        <w:t>A：报价部分评分：满分10分</w:t>
      </w:r>
    </w:p>
    <w:p w14:paraId="32BB689C">
      <w:pPr>
        <w:pStyle w:val="2"/>
        <w:ind w:firstLine="420" w:firstLineChars="200"/>
        <w:rPr>
          <w:rFonts w:hint="eastAsia" w:ascii="宋体" w:hAnsi="宋体" w:cs="宋体"/>
          <w:color w:val="auto"/>
          <w:highlight w:val="none"/>
        </w:rPr>
      </w:pPr>
      <w:r>
        <w:rPr>
          <w:rFonts w:hint="eastAsia" w:ascii="宋体" w:hAnsi="宋体" w:cs="宋体"/>
          <w:color w:val="auto"/>
          <w:highlight w:val="none"/>
        </w:rPr>
        <w:t>B：技术因素评分：满分69分</w:t>
      </w:r>
    </w:p>
    <w:p w14:paraId="3E8937A9">
      <w:pPr>
        <w:pStyle w:val="2"/>
        <w:ind w:firstLine="420" w:firstLineChars="200"/>
        <w:rPr>
          <w:rFonts w:hint="eastAsia" w:ascii="宋体" w:hAnsi="宋体" w:cs="宋体"/>
          <w:color w:val="auto"/>
          <w:highlight w:val="none"/>
        </w:rPr>
      </w:pPr>
      <w:r>
        <w:rPr>
          <w:rFonts w:hint="eastAsia" w:ascii="宋体" w:hAnsi="宋体" w:cs="宋体"/>
          <w:color w:val="auto"/>
          <w:highlight w:val="none"/>
        </w:rPr>
        <w:t>C：商务因素评分：满分21分</w:t>
      </w:r>
    </w:p>
    <w:p w14:paraId="3B2D0CE0">
      <w:pPr>
        <w:pStyle w:val="2"/>
        <w:ind w:firstLine="420" w:firstLineChars="200"/>
        <w:rPr>
          <w:color w:val="auto"/>
          <w:highlight w:val="none"/>
        </w:rPr>
      </w:pPr>
      <w:r>
        <w:rPr>
          <w:rFonts w:hint="eastAsia" w:ascii="宋体" w:hAnsi="宋体" w:cs="宋体"/>
          <w:color w:val="auto"/>
          <w:highlight w:val="none"/>
        </w:rPr>
        <w:t>各评委评分B、C部分分别取算术平均值为最终得分，并取小数点后的2位数。</w:t>
      </w:r>
    </w:p>
    <w:tbl>
      <w:tblPr>
        <w:tblStyle w:val="18"/>
        <w:tblW w:w="100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7"/>
        <w:gridCol w:w="915"/>
        <w:gridCol w:w="960"/>
        <w:gridCol w:w="6767"/>
        <w:gridCol w:w="808"/>
      </w:tblGrid>
      <w:tr w14:paraId="40D09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24C57ECF">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915" w:type="dxa"/>
            <w:tcBorders>
              <w:top w:val="single" w:color="auto" w:sz="4" w:space="0"/>
              <w:left w:val="single" w:color="auto" w:sz="4" w:space="0"/>
              <w:bottom w:val="single" w:color="auto" w:sz="4" w:space="0"/>
              <w:right w:val="single" w:color="auto" w:sz="4" w:space="0"/>
            </w:tcBorders>
            <w:noWrap/>
            <w:vAlign w:val="center"/>
          </w:tcPr>
          <w:p w14:paraId="45FD0A1D">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960" w:type="dxa"/>
            <w:tcBorders>
              <w:top w:val="single" w:color="auto" w:sz="4" w:space="0"/>
              <w:left w:val="single" w:color="auto" w:sz="4" w:space="0"/>
              <w:bottom w:val="single" w:color="auto" w:sz="4" w:space="0"/>
              <w:right w:val="single" w:color="auto" w:sz="4" w:space="0"/>
            </w:tcBorders>
            <w:noWrap/>
            <w:vAlign w:val="center"/>
          </w:tcPr>
          <w:p w14:paraId="5B16054C">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主要内容</w:t>
            </w:r>
          </w:p>
        </w:tc>
        <w:tc>
          <w:tcPr>
            <w:tcW w:w="6767" w:type="dxa"/>
            <w:tcBorders>
              <w:top w:val="single" w:color="auto" w:sz="4" w:space="0"/>
              <w:left w:val="single" w:color="auto" w:sz="4" w:space="0"/>
              <w:bottom w:val="single" w:color="auto" w:sz="4" w:space="0"/>
              <w:right w:val="single" w:color="auto" w:sz="4" w:space="0"/>
            </w:tcBorders>
            <w:noWrap/>
            <w:vAlign w:val="center"/>
          </w:tcPr>
          <w:p w14:paraId="0B0F8278">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c>
          <w:tcPr>
            <w:tcW w:w="808" w:type="dxa"/>
            <w:tcBorders>
              <w:top w:val="single" w:color="auto" w:sz="4" w:space="0"/>
              <w:left w:val="single" w:color="auto" w:sz="4" w:space="0"/>
              <w:bottom w:val="single" w:color="auto" w:sz="4" w:space="0"/>
              <w:right w:val="single" w:color="auto" w:sz="4" w:space="0"/>
            </w:tcBorders>
            <w:noWrap/>
            <w:vAlign w:val="center"/>
          </w:tcPr>
          <w:p w14:paraId="0415A0AD">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细项</w:t>
            </w:r>
          </w:p>
          <w:p w14:paraId="65D8BCF0">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0D926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3E30B4B1">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15" w:type="dxa"/>
            <w:tcBorders>
              <w:top w:val="single" w:color="auto" w:sz="4" w:space="0"/>
              <w:left w:val="single" w:color="auto" w:sz="4" w:space="0"/>
              <w:bottom w:val="single" w:color="auto" w:sz="4" w:space="0"/>
              <w:right w:val="single" w:color="auto" w:sz="4" w:space="0"/>
            </w:tcBorders>
            <w:noWrap/>
            <w:vAlign w:val="center"/>
          </w:tcPr>
          <w:p w14:paraId="0EF9B1AA">
            <w:pPr>
              <w:widowControl/>
              <w:overflowPunct w:val="0"/>
              <w:autoSpaceDE w:val="0"/>
              <w:autoSpaceDN w:val="0"/>
              <w:adjustRightInd w:val="0"/>
              <w:spacing w:line="360" w:lineRule="auto"/>
              <w:jc w:val="center"/>
              <w:textAlignment w:val="baseline"/>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投标报价</w:t>
            </w:r>
          </w:p>
        </w:tc>
        <w:tc>
          <w:tcPr>
            <w:tcW w:w="960" w:type="dxa"/>
            <w:tcBorders>
              <w:top w:val="single" w:color="auto" w:sz="4" w:space="0"/>
              <w:left w:val="single" w:color="auto" w:sz="4" w:space="0"/>
              <w:bottom w:val="single" w:color="auto" w:sz="4" w:space="0"/>
              <w:right w:val="single" w:color="auto" w:sz="4" w:space="0"/>
            </w:tcBorders>
            <w:noWrap/>
            <w:vAlign w:val="center"/>
          </w:tcPr>
          <w:p w14:paraId="26BDC99B">
            <w:pPr>
              <w:widowControl/>
              <w:overflowPunct w:val="0"/>
              <w:autoSpaceDE w:val="0"/>
              <w:autoSpaceDN w:val="0"/>
              <w:adjustRightInd w:val="0"/>
              <w:spacing w:line="360" w:lineRule="auto"/>
              <w:jc w:val="center"/>
              <w:textAlignment w:val="baseline"/>
              <w:rPr>
                <w:rFonts w:hint="eastAsia" w:ascii="宋体" w:hAnsi="宋体" w:cs="宋体"/>
                <w:color w:val="auto"/>
                <w:szCs w:val="21"/>
                <w:highlight w:val="none"/>
                <w:lang w:val="zh-CN"/>
              </w:rPr>
            </w:pPr>
            <w:r>
              <w:rPr>
                <w:rFonts w:hint="eastAsia" w:ascii="宋体" w:hAnsi="宋体" w:cs="宋体"/>
                <w:color w:val="auto"/>
                <w:szCs w:val="21"/>
                <w:highlight w:val="none"/>
                <w:lang w:val="zh-CN"/>
              </w:rPr>
              <w:t>价 格</w:t>
            </w:r>
          </w:p>
        </w:tc>
        <w:tc>
          <w:tcPr>
            <w:tcW w:w="6767" w:type="dxa"/>
            <w:tcBorders>
              <w:top w:val="single" w:color="auto" w:sz="4" w:space="0"/>
              <w:left w:val="single" w:color="auto" w:sz="4" w:space="0"/>
              <w:bottom w:val="single" w:color="auto" w:sz="4" w:space="0"/>
              <w:right w:val="single" w:color="auto" w:sz="4" w:space="0"/>
            </w:tcBorders>
            <w:noWrap/>
            <w:vAlign w:val="center"/>
          </w:tcPr>
          <w:p w14:paraId="564DF2CD">
            <w:pPr>
              <w:rPr>
                <w:rFonts w:hint="eastAsia" w:ascii="宋体" w:hAnsi="宋体" w:cs="宋体"/>
                <w:color w:val="auto"/>
                <w:szCs w:val="21"/>
                <w:highlight w:val="none"/>
                <w:lang w:val="zh-CN"/>
              </w:rPr>
            </w:pPr>
            <w:r>
              <w:rPr>
                <w:rFonts w:hint="eastAsia" w:ascii="宋体" w:hAnsi="宋体" w:cs="宋体"/>
                <w:color w:val="auto"/>
                <w:szCs w:val="21"/>
                <w:highlight w:val="none"/>
              </w:rPr>
              <w:t>A</w:t>
            </w:r>
            <w:r>
              <w:rPr>
                <w:rFonts w:hint="eastAsia" w:ascii="宋体" w:hAnsi="宋体" w:cs="宋体"/>
                <w:color w:val="auto"/>
                <w:szCs w:val="21"/>
                <w:highlight w:val="none"/>
                <w:lang w:val="zh-CN"/>
              </w:rPr>
              <w:t>投标报价得分＝(评标基准价/投标报价)×价格分值</w:t>
            </w:r>
          </w:p>
          <w:p w14:paraId="4B338BE3">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评标基准价是指满足招标文件要求且价格最低的投标报价，计算分数时四舍五入取小数点后两位。</w:t>
            </w:r>
          </w:p>
          <w:p w14:paraId="01178305">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注：采购人不接受投标人的恶意低价竞争，评标委员会认为投标人的报价明显低于其他通过符合性审查投标人的报价，有可能影响产品质量或者不能诚信履约的，要求其在评标现场提供书面说明，并提交相关证明材料，投标人不能证明其报价合理性的，评标委员会将对其作为无效投标处理。</w:t>
            </w:r>
          </w:p>
        </w:tc>
        <w:tc>
          <w:tcPr>
            <w:tcW w:w="808" w:type="dxa"/>
            <w:tcBorders>
              <w:top w:val="single" w:color="auto" w:sz="4" w:space="0"/>
              <w:left w:val="single" w:color="auto" w:sz="4" w:space="0"/>
              <w:bottom w:val="single" w:color="auto" w:sz="4" w:space="0"/>
              <w:right w:val="single" w:color="auto" w:sz="4" w:space="0"/>
            </w:tcBorders>
            <w:noWrap/>
            <w:vAlign w:val="center"/>
          </w:tcPr>
          <w:p w14:paraId="7E0B9B73">
            <w:pPr>
              <w:widowControl/>
              <w:overflowPunct w:val="0"/>
              <w:autoSpaceDE w:val="0"/>
              <w:autoSpaceDN w:val="0"/>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10</w:t>
            </w:r>
          </w:p>
        </w:tc>
      </w:tr>
      <w:tr w14:paraId="25142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26298972">
            <w:pPr>
              <w:widowControl/>
              <w:overflowPunct w:val="0"/>
              <w:autoSpaceDE w:val="0"/>
              <w:autoSpaceDN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color w:val="auto"/>
                <w:kern w:val="0"/>
                <w:szCs w:val="21"/>
                <w:highlight w:val="none"/>
              </w:rPr>
              <w:t>2</w:t>
            </w:r>
          </w:p>
        </w:tc>
        <w:tc>
          <w:tcPr>
            <w:tcW w:w="915" w:type="dxa"/>
            <w:vMerge w:val="restart"/>
            <w:tcBorders>
              <w:top w:val="single" w:color="auto" w:sz="4" w:space="0"/>
              <w:left w:val="single" w:color="auto" w:sz="4" w:space="0"/>
              <w:right w:val="single" w:color="auto" w:sz="4" w:space="0"/>
            </w:tcBorders>
            <w:noWrap/>
            <w:vAlign w:val="center"/>
          </w:tcPr>
          <w:p w14:paraId="52277A89">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技术因素</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79E00">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B1项目理解</w:t>
            </w: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3FEF">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B1投标人应能够充分理解福州市税务局12366纳税服务咨询外包采购项目的总体需求，在人员、业务、设备、管理制度、运营管理等方面提出服务外包解决方案，方案包含以上要点，内容与要点相符、解决方案可行且措施具体的得3分；方案所包含的要点齐全，内容与要点相符，内容相对简略，但能提供解决方案且有可操作性的得1分；方案所包含的要点有缺漏或仅笼统描述无具体措施的得0.5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96C2">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3</w:t>
            </w:r>
          </w:p>
        </w:tc>
      </w:tr>
      <w:tr w14:paraId="31062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70BC7B31">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915" w:type="dxa"/>
            <w:vMerge w:val="continue"/>
            <w:tcBorders>
              <w:left w:val="single" w:color="auto" w:sz="4" w:space="0"/>
              <w:right w:val="single" w:color="auto" w:sz="4" w:space="0"/>
            </w:tcBorders>
            <w:noWrap/>
            <w:vAlign w:val="center"/>
          </w:tcPr>
          <w:p w14:paraId="4D257A62">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restart"/>
            <w:tcBorders>
              <w:top w:val="single" w:color="auto" w:sz="4" w:space="0"/>
              <w:left w:val="single" w:color="auto" w:sz="4" w:space="0"/>
              <w:right w:val="single" w:color="auto" w:sz="4" w:space="0"/>
            </w:tcBorders>
            <w:shd w:val="clear" w:color="auto" w:fill="auto"/>
            <w:noWrap/>
            <w:vAlign w:val="center"/>
          </w:tcPr>
          <w:p w14:paraId="5440E920">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B2人员方案</w:t>
            </w:r>
          </w:p>
          <w:p w14:paraId="51A2DC19">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9B87E">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B2.1</w:t>
            </w:r>
            <w:r>
              <w:rPr>
                <w:rFonts w:hint="eastAsia" w:ascii="宋体" w:hAnsi="宋体" w:cs="宋体"/>
                <w:color w:val="auto"/>
                <w:szCs w:val="21"/>
                <w:highlight w:val="none"/>
                <w:lang w:val="zh-CN"/>
              </w:rPr>
              <w:t>根据投标人制定完整的服务团队架构和人员投入方案进行评议，方案包含以上要点，内容与要点相符且措施具体的得3分；方案所包含的要点齐全，内容与要点相符，内容相对简略，但具有可操作性的得</w:t>
            </w:r>
            <w:r>
              <w:rPr>
                <w:rFonts w:hint="eastAsia" w:ascii="宋体" w:hAnsi="宋体" w:cs="宋体"/>
                <w:color w:val="auto"/>
                <w:szCs w:val="21"/>
                <w:highlight w:val="none"/>
              </w:rPr>
              <w:t>1</w:t>
            </w:r>
            <w:r>
              <w:rPr>
                <w:rFonts w:hint="eastAsia" w:ascii="宋体" w:hAnsi="宋体" w:cs="宋体"/>
                <w:color w:val="auto"/>
                <w:szCs w:val="21"/>
                <w:highlight w:val="none"/>
                <w:lang w:val="zh-CN"/>
              </w:rPr>
              <w:t>分；方案所包含的要点有缺漏或仅笼统描述无具体措施的得</w:t>
            </w:r>
            <w:r>
              <w:rPr>
                <w:rFonts w:hint="eastAsia" w:ascii="宋体" w:hAnsi="宋体" w:cs="宋体"/>
                <w:color w:val="auto"/>
                <w:szCs w:val="21"/>
                <w:highlight w:val="none"/>
              </w:rPr>
              <w:t>0.5</w:t>
            </w:r>
            <w:r>
              <w:rPr>
                <w:rFonts w:hint="eastAsia" w:ascii="宋体" w:hAnsi="宋体" w:cs="宋体"/>
                <w:color w:val="auto"/>
                <w:szCs w:val="21"/>
                <w:highlight w:val="none"/>
                <w:lang w:val="zh-CN"/>
              </w:rPr>
              <w:t>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1DADA">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3</w:t>
            </w:r>
          </w:p>
        </w:tc>
      </w:tr>
      <w:tr w14:paraId="6E7D5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59A2E776">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915" w:type="dxa"/>
            <w:vMerge w:val="continue"/>
            <w:tcBorders>
              <w:left w:val="single" w:color="auto" w:sz="4" w:space="0"/>
              <w:right w:val="single" w:color="auto" w:sz="4" w:space="0"/>
            </w:tcBorders>
            <w:noWrap/>
            <w:vAlign w:val="center"/>
          </w:tcPr>
          <w:p w14:paraId="4A5DDEE3">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727C9709">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34E34">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B2.2投标人为本项目配备的专职现场管理人员中，管理人员有管理50人规模以上工作经验的，每提供1人得1分，上限2分；若管理人员有管理50人规模以上工作经验的且自2022年1月1日以来已连续2年（含）以上从事类似呼叫中心管理工作经历的，每提供1人得2.5分，上限5分。投标人需提供管理人员名单及提供承诺函承诺将相应经验的管理人员投入本项目，并附人员社保缴费记录（若为截止日期当月成立的供应商，无法提供社保缴费记录的，提供社保增员材料视为满足该条件）及工作经历用人单位证明等佐证材料（工作经历证明需加盖用人单位章）。未提供人员名单及承诺函或未提供相关佐证材料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D9DE4">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5</w:t>
            </w:r>
          </w:p>
        </w:tc>
      </w:tr>
      <w:tr w14:paraId="272C9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6"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07987C38">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915" w:type="dxa"/>
            <w:vMerge w:val="continue"/>
            <w:tcBorders>
              <w:left w:val="single" w:color="auto" w:sz="4" w:space="0"/>
              <w:right w:val="single" w:color="auto" w:sz="4" w:space="0"/>
            </w:tcBorders>
            <w:noWrap/>
            <w:vAlign w:val="center"/>
          </w:tcPr>
          <w:p w14:paraId="1C304BDA">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063DA658">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D24D6">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B2.3投标人为本项目配备的坐席人员中，拥有注册会计师或税务师证书，或2022年1月1日以来连续2年（含）以上从事类似呼叫中心工作经历的，每提供1人得1分，上限10分。投标人需提供人员名单及提供承诺函承诺将相应经验的人员投入本项目，并附人员社保缴费记录（若为截止日期当月成立的供应商，无法提供社保缴费记录的，提供社保增员材料视为满足该条件）及工作经历用人单位证明等佐证材料（工作经历证明需加盖用人单位章），或提供注册会计师或税务师证书复印件。未提供人员名单及承诺函或未提供相关佐证材料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C4FC3">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10</w:t>
            </w:r>
          </w:p>
        </w:tc>
      </w:tr>
      <w:tr w14:paraId="413D4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1FE35B7D">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915" w:type="dxa"/>
            <w:vMerge w:val="continue"/>
            <w:tcBorders>
              <w:left w:val="single" w:color="auto" w:sz="4" w:space="0"/>
              <w:right w:val="single" w:color="auto" w:sz="4" w:space="0"/>
            </w:tcBorders>
            <w:noWrap/>
            <w:vAlign w:val="center"/>
          </w:tcPr>
          <w:p w14:paraId="488943FF">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3CE5F955">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9655A">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B2.4投标人制定人员公开招聘方案：</w:t>
            </w:r>
          </w:p>
          <w:p w14:paraId="567E4B53">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承诺招聘坐席人员中具备财税专业背景的占比在75%（不含）以上的，得4分； </w:t>
            </w:r>
          </w:p>
          <w:p w14:paraId="649076D0">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承诺招聘坐席人员中具备财税专业背景的占比在70%（不含）-75%（含）的，得2.5分；</w:t>
            </w:r>
          </w:p>
          <w:p w14:paraId="04FD2178">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承诺招聘坐席人员中具备财税专业背景的占比在65%（不含）-70%（含）的，得1分；</w:t>
            </w:r>
          </w:p>
          <w:p w14:paraId="2ABBB8C6">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（需提供承诺函，未提供的不得分）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AF00E">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4</w:t>
            </w:r>
          </w:p>
        </w:tc>
      </w:tr>
      <w:tr w14:paraId="49BF2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4614C716">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915" w:type="dxa"/>
            <w:vMerge w:val="continue"/>
            <w:tcBorders>
              <w:left w:val="single" w:color="auto" w:sz="4" w:space="0"/>
              <w:right w:val="single" w:color="auto" w:sz="4" w:space="0"/>
            </w:tcBorders>
            <w:noWrap/>
            <w:vAlign w:val="center"/>
          </w:tcPr>
          <w:p w14:paraId="48FDA005">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487A62A8">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03DC">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B2.5投标人制定人员公开招聘方案：</w:t>
            </w:r>
          </w:p>
          <w:p w14:paraId="1D88F085">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承诺招聘坐席人员中具备本科及以上学历的占比在80%（不含）以上的，得4分； </w:t>
            </w:r>
          </w:p>
          <w:p w14:paraId="2594F3D3">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承诺招聘坐席人员中具备本科及以上学历的占比在75%（不含）-80%（含）的，得2.5分；</w:t>
            </w:r>
          </w:p>
          <w:p w14:paraId="0483DD88">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承诺招聘坐席人员中本科及以上学历的占比在70%（不含）-75%（含）的得1分；</w:t>
            </w:r>
          </w:p>
          <w:p w14:paraId="31CDDA2D">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（需提供承诺函，未提供的不得分）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C1F1">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4</w:t>
            </w:r>
          </w:p>
        </w:tc>
      </w:tr>
      <w:tr w14:paraId="40170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19C0CCD0">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915" w:type="dxa"/>
            <w:vMerge w:val="continue"/>
            <w:tcBorders>
              <w:left w:val="single" w:color="auto" w:sz="4" w:space="0"/>
              <w:right w:val="single" w:color="auto" w:sz="4" w:space="0"/>
            </w:tcBorders>
            <w:noWrap/>
            <w:vAlign w:val="center"/>
          </w:tcPr>
          <w:p w14:paraId="725766A5">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675D481B">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C6627">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2.6投标人能制定满足12366中心人员管理的各项制度，（至少包括岗位工作说明书及工作标准、职业规划、人员入离职管理、考勤及休假管理、奖惩机制、质量监督与管理等6项制度）制度内容与要点相符、思路清晰，措施合理且具体的每提供1项得1分；制度内容与要点相符，内容相对简略，且有可操作性的每提供1项得0.5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9F4F2">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r>
      <w:tr w14:paraId="4235C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702DE776">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915" w:type="dxa"/>
            <w:vMerge w:val="continue"/>
            <w:tcBorders>
              <w:left w:val="single" w:color="auto" w:sz="4" w:space="0"/>
              <w:right w:val="single" w:color="auto" w:sz="4" w:space="0"/>
            </w:tcBorders>
            <w:noWrap/>
            <w:vAlign w:val="center"/>
          </w:tcPr>
          <w:p w14:paraId="18743863">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725B66EA">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8E7B4">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2.7投标人制定合理人才储备方案，保证12366服务外包人员相对稳定，承诺每季度人员流失率在10%（含）以下的得5分，流失率在10%-15%（含）的得4分，流失率在15%-18%（含）的得3分，流失率在18%-20%（含20%）的得2分， 其他不得分。需提供承诺函，未提供的不得分。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99C60">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39E38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472D2842">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15" w:type="dxa"/>
            <w:vMerge w:val="continue"/>
            <w:tcBorders>
              <w:left w:val="single" w:color="auto" w:sz="4" w:space="0"/>
              <w:right w:val="single" w:color="auto" w:sz="4" w:space="0"/>
            </w:tcBorders>
            <w:noWrap/>
            <w:vAlign w:val="center"/>
          </w:tcPr>
          <w:p w14:paraId="72BBC78D">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668FC854">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7A45">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2.8根据投标人提供的人才储备计划（包括但不限于需求预测及招聘规划制定、人员补充渠道、新员工培训与考核等）进行评议，方案内容完整、详细、可操作性强，阐述内容具体、透彻、针对性强，能结合项目特点制定方案的得3分；方案所包含的要点齐全，内容与要点相符，内容相对简略，但具有可操作性的得1分；方案所包含的要点有缺漏或仅笼统描述无具体措施的得0.5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489DA">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284E0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5CB9E3EF">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915" w:type="dxa"/>
            <w:vMerge w:val="continue"/>
            <w:tcBorders>
              <w:left w:val="single" w:color="auto" w:sz="4" w:space="0"/>
              <w:right w:val="single" w:color="auto" w:sz="4" w:space="0"/>
            </w:tcBorders>
            <w:noWrap/>
            <w:vAlign w:val="center"/>
          </w:tcPr>
          <w:p w14:paraId="5A00C3BC">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76FD4DDE">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E3711">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2.9根据投标人提供的人员淘汰机制（至少包含培训考试、绩效考核、违纪行为等淘汰机制）进行评议，方案内容完整、详细、可操作性强，阐述内容具体、透彻、针对性强，能结合项目特点制定方案的得3分；方案所包含的要点齐全，内容与要点相符，内容相对简略，但具有可操作性的得1分；方案所包含的要点有缺漏或仅笼统描述无具体措施的得0.5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667E6">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79891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5B214A7B">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915" w:type="dxa"/>
            <w:vMerge w:val="continue"/>
            <w:tcBorders>
              <w:left w:val="single" w:color="auto" w:sz="4" w:space="0"/>
              <w:right w:val="single" w:color="auto" w:sz="4" w:space="0"/>
            </w:tcBorders>
            <w:noWrap/>
            <w:vAlign w:val="center"/>
          </w:tcPr>
          <w:p w14:paraId="2C19B4F8">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bottom w:val="single" w:color="auto" w:sz="4" w:space="0"/>
              <w:right w:val="single" w:color="auto" w:sz="4" w:space="0"/>
            </w:tcBorders>
            <w:shd w:val="clear" w:color="auto" w:fill="auto"/>
            <w:noWrap/>
            <w:vAlign w:val="center"/>
          </w:tcPr>
          <w:p w14:paraId="21E208BF">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45F8E">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2.10投标人需提供排班计划，由评委进行评议：排班计划科学合理、班次均衡，确保正常工作时段及非正常工作时段（工作日午间12:00-14:30）上线人数足以支撑热线，同时各班次均配备业务支持人员，以保证咨询解答的及时性和准确性，责任划分明确的得2分；排班计划完整，班次均衡，但表述不够具体，未能体现排班优势的得0.5分；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180AD">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25762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66"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6A361EF1">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915" w:type="dxa"/>
            <w:vMerge w:val="continue"/>
            <w:tcBorders>
              <w:left w:val="single" w:color="auto" w:sz="4" w:space="0"/>
              <w:right w:val="single" w:color="auto" w:sz="4" w:space="0"/>
            </w:tcBorders>
            <w:noWrap/>
            <w:vAlign w:val="center"/>
          </w:tcPr>
          <w:p w14:paraId="1FD9E726">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restart"/>
            <w:tcBorders>
              <w:top w:val="single" w:color="auto" w:sz="4" w:space="0"/>
              <w:left w:val="single" w:color="auto" w:sz="4" w:space="0"/>
              <w:right w:val="single" w:color="auto" w:sz="4" w:space="0"/>
            </w:tcBorders>
            <w:shd w:val="clear" w:color="auto" w:fill="auto"/>
            <w:noWrap/>
            <w:vAlign w:val="center"/>
          </w:tcPr>
          <w:p w14:paraId="3DFC0FBD">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B3业务及运营管理</w:t>
            </w:r>
          </w:p>
          <w:p w14:paraId="3E2810E5">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C14CE">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3.1投标人制定现场管理方案（内容包括但不限于运行管理、业务管理、环境管理、应急管理等），由评委进行评议：方案内容完整、详细、可操作性强，阐述内容具体、透彻、针对性强，能结合项目特点制定方案的得3分；方案所包含的要点齐全，内容与要点相符，内容相对简略，但具有可操作性的得1分；方案所包含的要点有缺漏或仅笼统描述无具体措施的得0.5分；未提供方案或培训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4849D">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6EFB3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2466A5C7">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915" w:type="dxa"/>
            <w:vMerge w:val="continue"/>
            <w:tcBorders>
              <w:left w:val="single" w:color="auto" w:sz="4" w:space="0"/>
              <w:right w:val="single" w:color="auto" w:sz="4" w:space="0"/>
            </w:tcBorders>
            <w:noWrap/>
            <w:vAlign w:val="center"/>
          </w:tcPr>
          <w:p w14:paraId="67BB5DDD">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461C5827">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FD3D1">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B3.2</w:t>
            </w:r>
            <w:r>
              <w:rPr>
                <w:rFonts w:hint="eastAsia" w:ascii="宋体" w:hAnsi="宋体" w:cs="宋体"/>
                <w:color w:val="auto"/>
                <w:szCs w:val="21"/>
                <w:highlight w:val="none"/>
                <w:lang w:val="zh-CN"/>
              </w:rPr>
              <w:t>投标人制定沟通协调机制方案（至少包含如何与采购人建立沟通协调机制、如何实现情况互通，如何确保运行管理顺畅的相关措施），由评委进行评议：方案包含以上要点，内容与要点相符、且措施具体，能够保证项目管理顺畅的得3分；方案所包含的要点齐全，内容与要点相符，内容相对简略，但具有可操作性的得</w:t>
            </w:r>
            <w:r>
              <w:rPr>
                <w:rFonts w:hint="eastAsia" w:ascii="宋体" w:hAnsi="宋体" w:cs="宋体"/>
                <w:color w:val="auto"/>
                <w:szCs w:val="21"/>
                <w:highlight w:val="none"/>
              </w:rPr>
              <w:t>1</w:t>
            </w:r>
            <w:r>
              <w:rPr>
                <w:rFonts w:hint="eastAsia" w:ascii="宋体" w:hAnsi="宋体" w:cs="宋体"/>
                <w:color w:val="auto"/>
                <w:szCs w:val="21"/>
                <w:highlight w:val="none"/>
                <w:lang w:val="zh-CN"/>
              </w:rPr>
              <w:t>分；方案所包含的要点有缺漏或仅笼统描述无具体措施的得</w:t>
            </w:r>
            <w:r>
              <w:rPr>
                <w:rFonts w:hint="eastAsia" w:ascii="宋体" w:hAnsi="宋体" w:cs="宋体"/>
                <w:color w:val="auto"/>
                <w:szCs w:val="21"/>
                <w:highlight w:val="none"/>
              </w:rPr>
              <w:t>0.5</w:t>
            </w:r>
            <w:r>
              <w:rPr>
                <w:rFonts w:hint="eastAsia" w:ascii="宋体" w:hAnsi="宋体" w:cs="宋体"/>
                <w:color w:val="auto"/>
                <w:szCs w:val="21"/>
                <w:highlight w:val="none"/>
                <w:lang w:val="zh-CN"/>
              </w:rPr>
              <w:t>分；未提供方案或方案内容与项目情况不相符的不得分。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7FD61">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0EFC1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3E7FDABC">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915" w:type="dxa"/>
            <w:vMerge w:val="continue"/>
            <w:tcBorders>
              <w:left w:val="single" w:color="auto" w:sz="4" w:space="0"/>
              <w:right w:val="single" w:color="auto" w:sz="4" w:space="0"/>
            </w:tcBorders>
            <w:noWrap/>
            <w:vAlign w:val="center"/>
          </w:tcPr>
          <w:p w14:paraId="7FDCF05C">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220B7290">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0B2B6">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3.3根据投标人提供的培训方案（内容包括但不限于：岗前培训、日常培训、专项培训、分组培训、培训师资配置、培训形式、培训时长及测试要求等）进行评议：培训方案内容完整、详细、可操作性强，阐述的内容具体、透彻、针对性强，能结合项目特点制定方案的得3分；方案所包含的要点齐全，内容与要点相符，但内容相对简略的得1分；方案所包含的要点有缺漏或仅笼统描述无具体措施的得0.5分；未提供方案或培训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73338">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6943B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6"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5881E058">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915" w:type="dxa"/>
            <w:vMerge w:val="continue"/>
            <w:tcBorders>
              <w:left w:val="single" w:color="auto" w:sz="4" w:space="0"/>
              <w:right w:val="single" w:color="auto" w:sz="4" w:space="0"/>
            </w:tcBorders>
            <w:noWrap/>
            <w:vAlign w:val="center"/>
          </w:tcPr>
          <w:p w14:paraId="3AC91979">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28AA59FA">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82B1B">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3.4根据投标人提供的坐席人员话务质检方案（内容包括但不限于质检范围、质检标准与内容、质检方式与频率、质检结果运用等）进行评议：质检方案内容完整、详细、可操作性强，阐述的内容具体、透彻、针对性强，能结合项目特点制定方案的得3分；方案所包含的要点齐全，内容与要点相符，但内容相对简略的得1分；方案所包含的要点有缺漏或仅笼统描述无具体措施的得0.5分；未提供方案或质检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E60DE">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29619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3D3B872F">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915" w:type="dxa"/>
            <w:vMerge w:val="continue"/>
            <w:tcBorders>
              <w:left w:val="single" w:color="auto" w:sz="4" w:space="0"/>
              <w:right w:val="single" w:color="auto" w:sz="4" w:space="0"/>
            </w:tcBorders>
            <w:noWrap/>
            <w:vAlign w:val="center"/>
          </w:tcPr>
          <w:p w14:paraId="0D5002BD">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3F8C707A">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253D3">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3.5投标人围绕本项目制定的考核标准制定绩效管理实施方案，保证12366服务质效。绩效管理方案内容完整、详细、可操作性强，阐述的内容具体、透彻、针对性强，能结合项目特点制定方案的得3分；绩效管理方案所包含的要点齐全，内容与要点相符，但内容相对简略的得1分；方案所包含的要点有缺漏或仅笼统描述无具体措施的得0.5分；未提供方案或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AF8F">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24D33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4CA8EE9F">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915" w:type="dxa"/>
            <w:vMerge w:val="continue"/>
            <w:tcBorders>
              <w:left w:val="single" w:color="auto" w:sz="4" w:space="0"/>
              <w:right w:val="single" w:color="auto" w:sz="4" w:space="0"/>
            </w:tcBorders>
            <w:noWrap/>
            <w:vAlign w:val="center"/>
          </w:tcPr>
          <w:p w14:paraId="3F5A71E1">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00FFAB7C">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CECD5">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3.6投标人提供保密管理方案（至少包括信息安全管理制度、信息保密措施等方面的内容），由评委进行评议：方案内容完整、详细、可操作性强，阐述内容具体、透彻、针对性强，能结合项目特点制定方案的得2分；方案所包含的要点齐全，内容与要点相符，但内容相对简略的得1分；方案所包含的要点有缺漏或仅笼统描述无具体措施的得0.5分；未提供方案或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16D6F">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1E211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4BBC57A4">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915" w:type="dxa"/>
            <w:vMerge w:val="continue"/>
            <w:tcBorders>
              <w:left w:val="single" w:color="auto" w:sz="4" w:space="0"/>
              <w:right w:val="single" w:color="auto" w:sz="4" w:space="0"/>
            </w:tcBorders>
            <w:noWrap/>
            <w:vAlign w:val="center"/>
          </w:tcPr>
          <w:p w14:paraId="5B513E1D">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13BDAEEA">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CF13B">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B3.7投标人提供保障服务团队活动的方案（每季度至少开展一次），由评委进行评议：方案合理、完善并提供保障承诺的得1分；仅提供方案，但措施不具体的或者未有承诺的得0.5分；未提供方案的不得分。（需同时提供承诺函，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B8D3B">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1</w:t>
            </w:r>
          </w:p>
        </w:tc>
      </w:tr>
      <w:tr w14:paraId="77F16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1852DC10">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15" w:type="dxa"/>
            <w:vMerge w:val="continue"/>
            <w:tcBorders>
              <w:left w:val="single" w:color="auto" w:sz="4" w:space="0"/>
              <w:right w:val="single" w:color="auto" w:sz="4" w:space="0"/>
            </w:tcBorders>
            <w:noWrap/>
            <w:vAlign w:val="center"/>
          </w:tcPr>
          <w:p w14:paraId="47B5B7AD">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bottom w:val="single" w:color="auto" w:sz="4" w:space="0"/>
              <w:right w:val="single" w:color="auto" w:sz="4" w:space="0"/>
            </w:tcBorders>
            <w:shd w:val="clear" w:color="auto" w:fill="auto"/>
            <w:noWrap/>
            <w:vAlign w:val="center"/>
          </w:tcPr>
          <w:p w14:paraId="4B22801E">
            <w:pPr>
              <w:spacing w:before="48" w:after="48"/>
              <w:jc w:val="center"/>
              <w:rPr>
                <w:rFonts w:hint="eastAsia" w:ascii="宋体" w:hAnsi="宋体" w:cs="宋体"/>
                <w:bCs/>
                <w:color w:val="auto"/>
                <w:szCs w:val="21"/>
                <w:highlight w:val="none"/>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73057">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B3.8投标人承诺公司领导能定期到现场同坐席人员沟通交流，开展人文关怀，以提高外包团队向心力，降低人员流动性。提供承诺函的得1分；未提供的不得分。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3CBA1">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473C0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08F326C3">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915" w:type="dxa"/>
            <w:vMerge w:val="continue"/>
            <w:tcBorders>
              <w:left w:val="single" w:color="auto" w:sz="4" w:space="0"/>
              <w:bottom w:val="single" w:color="auto" w:sz="4" w:space="0"/>
              <w:right w:val="single" w:color="auto" w:sz="4" w:space="0"/>
            </w:tcBorders>
            <w:noWrap/>
            <w:vAlign w:val="center"/>
          </w:tcPr>
          <w:p w14:paraId="133EEB4E">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8FB9">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B4设备保障方案</w:t>
            </w: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2FFD7">
            <w:pPr>
              <w:tabs>
                <w:tab w:val="center" w:pos="489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B4</w:t>
            </w:r>
            <w:r>
              <w:rPr>
                <w:rFonts w:hint="eastAsia" w:ascii="宋体" w:hAnsi="宋体" w:cs="宋体"/>
                <w:color w:val="auto"/>
                <w:szCs w:val="21"/>
                <w:highlight w:val="none"/>
                <w:lang w:val="zh-CN"/>
              </w:rPr>
              <w:t>投标人制定设备保障响应方案（至少包括故障响应、应急措施等内容），由评委进行评议：方案内容完整、详细、可操作性强，阐述内容具体、透彻、针对性强，能结合项目特点制定方案的得2分；方案所包含的要点齐全，内容与要点相符，但内容相对简略的得1分；方案所包含的要点有缺漏或仅笼统描述无具体措施的得</w:t>
            </w:r>
            <w:r>
              <w:rPr>
                <w:rFonts w:hint="eastAsia" w:ascii="宋体" w:hAnsi="宋体" w:cs="宋体"/>
                <w:color w:val="auto"/>
                <w:szCs w:val="21"/>
                <w:highlight w:val="none"/>
              </w:rPr>
              <w:t>0.5</w:t>
            </w:r>
            <w:r>
              <w:rPr>
                <w:rFonts w:hint="eastAsia" w:ascii="宋体" w:hAnsi="宋体" w:cs="宋体"/>
                <w:color w:val="auto"/>
                <w:szCs w:val="21"/>
                <w:highlight w:val="none"/>
                <w:lang w:val="zh-CN"/>
              </w:rPr>
              <w:t>分；未提供方案或方案内容不符合要求的不得分。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FB2B9">
            <w:pPr>
              <w:tabs>
                <w:tab w:val="center" w:pos="489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05E75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097" w:type="dxa"/>
            <w:gridSpan w:val="5"/>
            <w:tcBorders>
              <w:top w:val="single" w:color="auto" w:sz="4" w:space="0"/>
              <w:left w:val="single" w:color="auto" w:sz="4" w:space="0"/>
              <w:bottom w:val="single" w:color="auto" w:sz="4" w:space="0"/>
              <w:right w:val="single" w:color="auto" w:sz="4" w:space="0"/>
            </w:tcBorders>
            <w:noWrap/>
            <w:vAlign w:val="center"/>
          </w:tcPr>
          <w:p w14:paraId="33E5E9DC">
            <w:pPr>
              <w:tabs>
                <w:tab w:val="center" w:pos="4890"/>
              </w:tabs>
              <w:spacing w:line="360" w:lineRule="auto"/>
              <w:jc w:val="left"/>
              <w:rPr>
                <w:rFonts w:hint="eastAsia" w:ascii="宋体" w:hAnsi="宋体" w:cs="宋体"/>
                <w:color w:val="auto"/>
                <w:szCs w:val="21"/>
                <w:highlight w:val="none"/>
              </w:rPr>
            </w:pPr>
            <w:r>
              <w:rPr>
                <w:rFonts w:hint="eastAsia" w:ascii="宋体" w:hAnsi="宋体" w:cs="宋体"/>
                <w:color w:val="auto"/>
                <w:highlight w:val="none"/>
              </w:rPr>
              <w:t>各投标人的技术部分得分B=B1+B2+B3+B4</w:t>
            </w:r>
          </w:p>
        </w:tc>
      </w:tr>
      <w:tr w14:paraId="31DBD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4E3AC619">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915" w:type="dxa"/>
            <w:vMerge w:val="restart"/>
            <w:tcBorders>
              <w:top w:val="single" w:color="auto" w:sz="4" w:space="0"/>
              <w:left w:val="single" w:color="auto" w:sz="4" w:space="0"/>
              <w:bottom w:val="single" w:color="auto" w:sz="4" w:space="0"/>
              <w:right w:val="single" w:color="auto" w:sz="4" w:space="0"/>
            </w:tcBorders>
            <w:noWrap/>
            <w:vAlign w:val="center"/>
          </w:tcPr>
          <w:p w14:paraId="4D03EDA3">
            <w:pPr>
              <w:widowControl/>
              <w:overflowPunct w:val="0"/>
              <w:autoSpaceDE w:val="0"/>
              <w:autoSpaceDN w:val="0"/>
              <w:adjustRightInd w:val="0"/>
              <w:spacing w:line="360" w:lineRule="auto"/>
              <w:jc w:val="center"/>
              <w:textAlignment w:val="baseline"/>
              <w:rPr>
                <w:rFonts w:hint="eastAsia" w:ascii="宋体" w:hAnsi="宋体" w:cs="宋体"/>
                <w:color w:val="auto"/>
                <w:szCs w:val="21"/>
                <w:highlight w:val="none"/>
                <w:lang w:val="zh-CN"/>
              </w:rPr>
            </w:pPr>
            <w:r>
              <w:rPr>
                <w:rFonts w:hint="eastAsia" w:ascii="宋体" w:hAnsi="宋体" w:cs="宋体"/>
                <w:color w:val="auto"/>
                <w:szCs w:val="21"/>
                <w:highlight w:val="none"/>
                <w:lang w:val="zh-CN"/>
              </w:rPr>
              <w:t>商务因素</w:t>
            </w:r>
          </w:p>
        </w:tc>
        <w:tc>
          <w:tcPr>
            <w:tcW w:w="960" w:type="dxa"/>
            <w:vMerge w:val="restart"/>
            <w:tcBorders>
              <w:top w:val="single" w:color="auto" w:sz="4" w:space="0"/>
              <w:left w:val="single" w:color="auto" w:sz="4" w:space="0"/>
              <w:right w:val="single" w:color="auto" w:sz="4" w:space="0"/>
            </w:tcBorders>
            <w:shd w:val="clear" w:color="auto" w:fill="auto"/>
            <w:noWrap/>
            <w:vAlign w:val="center"/>
          </w:tcPr>
          <w:p w14:paraId="273B4BE3">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C1综合实力</w:t>
            </w: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06682">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C1.1投标人能提供客服号证明，即能提供和网络运营商签订的协议的得4分，未提供的不得分。须提供证书或证明材料复印件，原件备查。</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6E68C">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4</w:t>
            </w:r>
          </w:p>
        </w:tc>
      </w:tr>
      <w:tr w14:paraId="44AB26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1948B7C1">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915" w:type="dxa"/>
            <w:vMerge w:val="continue"/>
            <w:tcBorders>
              <w:top w:val="single" w:color="auto" w:sz="4" w:space="0"/>
              <w:left w:val="single" w:color="auto" w:sz="4" w:space="0"/>
              <w:bottom w:val="single" w:color="auto" w:sz="4" w:space="0"/>
              <w:right w:val="single" w:color="auto" w:sz="4" w:space="0"/>
            </w:tcBorders>
            <w:noWrap/>
          </w:tcPr>
          <w:p w14:paraId="36609E98">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right w:val="single" w:color="auto" w:sz="4" w:space="0"/>
            </w:tcBorders>
            <w:shd w:val="clear" w:color="auto" w:fill="auto"/>
            <w:noWrap/>
            <w:vAlign w:val="center"/>
          </w:tcPr>
          <w:p w14:paraId="4663AD51">
            <w:pPr>
              <w:spacing w:before="48" w:after="48"/>
              <w:jc w:val="center"/>
              <w:rPr>
                <w:rFonts w:hint="eastAsia" w:ascii="宋体" w:hAnsi="宋体" w:cs="宋体"/>
                <w:bCs/>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F3489">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C1.2投标人具有ISO质量管理体系认证和ISO职业健康安全管理体系认证，具有以上1个体系认证得1分，满分2分，要求提供有效证明文件，未提供体系认证或未提供有效证明文件不得分。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B930B">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2</w:t>
            </w:r>
          </w:p>
        </w:tc>
      </w:tr>
      <w:tr w14:paraId="61A4B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6DEBDA42">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915" w:type="dxa"/>
            <w:vMerge w:val="continue"/>
            <w:tcBorders>
              <w:top w:val="single" w:color="auto" w:sz="4" w:space="0"/>
              <w:left w:val="single" w:color="auto" w:sz="4" w:space="0"/>
              <w:bottom w:val="single" w:color="auto" w:sz="4" w:space="0"/>
              <w:right w:val="single" w:color="auto" w:sz="4" w:space="0"/>
            </w:tcBorders>
            <w:noWrap/>
          </w:tcPr>
          <w:p w14:paraId="6BAAD729">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bottom w:val="single" w:color="auto" w:sz="4" w:space="0"/>
              <w:right w:val="single" w:color="auto" w:sz="4" w:space="0"/>
            </w:tcBorders>
            <w:shd w:val="clear" w:color="auto" w:fill="auto"/>
            <w:noWrap/>
            <w:vAlign w:val="center"/>
          </w:tcPr>
          <w:p w14:paraId="7C6DE4AA">
            <w:pPr>
              <w:spacing w:before="48" w:after="48"/>
              <w:jc w:val="center"/>
              <w:rPr>
                <w:rFonts w:hint="eastAsia" w:ascii="宋体" w:hAnsi="宋体" w:cs="宋体"/>
                <w:bCs/>
                <w:color w:val="auto"/>
                <w:szCs w:val="21"/>
                <w:highlight w:val="none"/>
              </w:rPr>
            </w:pPr>
          </w:p>
        </w:tc>
        <w:tc>
          <w:tcPr>
            <w:tcW w:w="7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AEE33E">
            <w:pPr>
              <w:tabs>
                <w:tab w:val="center" w:pos="489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以上须提供证书或证明材料复印件，原件备查。</w:t>
            </w:r>
          </w:p>
        </w:tc>
      </w:tr>
      <w:tr w14:paraId="6089D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5B409B27">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915" w:type="dxa"/>
            <w:vMerge w:val="continue"/>
            <w:tcBorders>
              <w:top w:val="single" w:color="auto" w:sz="4" w:space="0"/>
              <w:left w:val="single" w:color="auto" w:sz="4" w:space="0"/>
              <w:bottom w:val="single" w:color="auto" w:sz="4" w:space="0"/>
              <w:right w:val="single" w:color="auto" w:sz="4" w:space="0"/>
            </w:tcBorders>
            <w:noWrap/>
          </w:tcPr>
          <w:p w14:paraId="63CA0161">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restart"/>
            <w:tcBorders>
              <w:top w:val="single" w:color="auto" w:sz="4" w:space="0"/>
              <w:left w:val="single" w:color="auto" w:sz="4" w:space="0"/>
              <w:right w:val="single" w:color="auto" w:sz="4" w:space="0"/>
            </w:tcBorders>
            <w:shd w:val="clear" w:color="auto" w:fill="auto"/>
            <w:noWrap/>
            <w:vAlign w:val="center"/>
          </w:tcPr>
          <w:p w14:paraId="32AE1428">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C2类似项目经验</w:t>
            </w: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C41A7">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C2.1自2022年1月1日以来，投标人具有类似呼叫中心服务外包项目经验的，每提供一项呼叫中心业绩项目得2分，满分为10分；没有的不得分。提供业绩项目资料中须同时含中标/成交公告（提供相关网站中标/成交公告的下载网页并注明网址）、中标/成交通知书复印件、采购合同文本复印件，以及任意一个月被服务方的付款证明材料或能够证明该业绩项目已经采购人验收合格的相关证明文件复印件。未同时提供以上各项证明材料的，该项业绩不给予计分，投标人须准备原件备查。</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AE9BD">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10</w:t>
            </w:r>
          </w:p>
        </w:tc>
      </w:tr>
      <w:tr w14:paraId="47863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14:paraId="038952C0">
            <w:pPr>
              <w:widowControl/>
              <w:overflowPunct w:val="0"/>
              <w:autoSpaceDE w:val="0"/>
              <w:autoSpaceDN w:val="0"/>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915" w:type="dxa"/>
            <w:vMerge w:val="continue"/>
            <w:tcBorders>
              <w:top w:val="single" w:color="auto" w:sz="4" w:space="0"/>
              <w:left w:val="single" w:color="auto" w:sz="4" w:space="0"/>
              <w:bottom w:val="single" w:color="auto" w:sz="4" w:space="0"/>
              <w:right w:val="single" w:color="auto" w:sz="4" w:space="0"/>
            </w:tcBorders>
            <w:noWrap/>
          </w:tcPr>
          <w:p w14:paraId="0E060C1C">
            <w:pPr>
              <w:widowControl/>
              <w:overflowPunct w:val="0"/>
              <w:autoSpaceDE w:val="0"/>
              <w:autoSpaceDN w:val="0"/>
              <w:adjustRightInd w:val="0"/>
              <w:spacing w:line="360" w:lineRule="auto"/>
              <w:jc w:val="left"/>
              <w:textAlignment w:val="baseline"/>
              <w:rPr>
                <w:rFonts w:hint="eastAsia" w:ascii="宋体" w:hAnsi="宋体" w:cs="宋体"/>
                <w:color w:val="auto"/>
                <w:szCs w:val="21"/>
                <w:highlight w:val="none"/>
                <w:lang w:val="zh-CN"/>
              </w:rPr>
            </w:pPr>
          </w:p>
        </w:tc>
        <w:tc>
          <w:tcPr>
            <w:tcW w:w="960" w:type="dxa"/>
            <w:vMerge w:val="continue"/>
            <w:tcBorders>
              <w:left w:val="single" w:color="auto" w:sz="4" w:space="0"/>
              <w:bottom w:val="single" w:color="auto" w:sz="4" w:space="0"/>
              <w:right w:val="single" w:color="auto" w:sz="4" w:space="0"/>
            </w:tcBorders>
            <w:shd w:val="clear" w:color="auto" w:fill="auto"/>
            <w:noWrap/>
            <w:vAlign w:val="center"/>
          </w:tcPr>
          <w:p w14:paraId="4DF96E15">
            <w:pPr>
              <w:tabs>
                <w:tab w:val="center" w:pos="4890"/>
              </w:tabs>
              <w:spacing w:line="360" w:lineRule="auto"/>
              <w:jc w:val="center"/>
              <w:rPr>
                <w:rFonts w:hint="eastAsia" w:ascii="宋体" w:hAnsi="宋体" w:cs="宋体"/>
                <w:color w:val="auto"/>
                <w:szCs w:val="21"/>
                <w:highlight w:val="none"/>
                <w:lang w:val="zh-CN"/>
              </w:rPr>
            </w:pPr>
          </w:p>
        </w:tc>
        <w:tc>
          <w:tcPr>
            <w:tcW w:w="6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1C10A">
            <w:pPr>
              <w:tabs>
                <w:tab w:val="center" w:pos="4890"/>
              </w:tabs>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C2.2投标人提供履约过的呼叫中心业绩项目的考核结果或验收报告，有评价为优秀或其他正面评价的（以百分制考核服务总分在95分及以上），每提供一项得1分，满分5分。投标人需提供业主签字或加盖公章的服务考核结果或验收报告，验收报告中须体现项目名称、考核单位、考核结果（考核结果需列明各考核指标得分情况）。未同时提供以上资料不得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289E9">
            <w:pPr>
              <w:tabs>
                <w:tab w:val="center" w:pos="4890"/>
              </w:tabs>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5</w:t>
            </w:r>
          </w:p>
        </w:tc>
      </w:tr>
      <w:tr w14:paraId="4AB2C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097" w:type="dxa"/>
            <w:gridSpan w:val="5"/>
            <w:tcBorders>
              <w:top w:val="single" w:color="auto" w:sz="4" w:space="0"/>
              <w:left w:val="single" w:color="auto" w:sz="4" w:space="0"/>
              <w:bottom w:val="single" w:color="auto" w:sz="4" w:space="0"/>
              <w:right w:val="single" w:color="auto" w:sz="4" w:space="0"/>
            </w:tcBorders>
            <w:noWrap/>
            <w:vAlign w:val="center"/>
          </w:tcPr>
          <w:p w14:paraId="1EF7E9F0">
            <w:pPr>
              <w:widowControl/>
              <w:overflowPunct w:val="0"/>
              <w:autoSpaceDE w:val="0"/>
              <w:autoSpaceDN w:val="0"/>
              <w:adjustRightInd w:val="0"/>
              <w:spacing w:line="360" w:lineRule="auto"/>
              <w:jc w:val="left"/>
              <w:textAlignment w:val="baseline"/>
              <w:rPr>
                <w:rFonts w:hint="eastAsia" w:ascii="宋体" w:hAnsi="宋体" w:cs="宋体"/>
                <w:b/>
                <w:bCs/>
                <w:color w:val="auto"/>
                <w:kern w:val="0"/>
                <w:szCs w:val="21"/>
                <w:highlight w:val="none"/>
              </w:rPr>
            </w:pPr>
            <w:r>
              <w:rPr>
                <w:rFonts w:hint="eastAsia" w:ascii="宋体" w:hAnsi="宋体" w:cs="宋体"/>
                <w:color w:val="auto"/>
                <w:kern w:val="0"/>
                <w:szCs w:val="21"/>
                <w:highlight w:val="none"/>
              </w:rPr>
              <w:t>各投标人的商务部分得分C= C1+C2</w:t>
            </w:r>
          </w:p>
        </w:tc>
      </w:tr>
      <w:tr w14:paraId="67B86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097" w:type="dxa"/>
            <w:gridSpan w:val="5"/>
            <w:tcBorders>
              <w:top w:val="single" w:color="auto" w:sz="4" w:space="0"/>
              <w:left w:val="single" w:color="auto" w:sz="4" w:space="0"/>
              <w:bottom w:val="single" w:color="auto" w:sz="4" w:space="0"/>
              <w:right w:val="single" w:color="auto" w:sz="4" w:space="0"/>
            </w:tcBorders>
            <w:noWrap/>
            <w:vAlign w:val="center"/>
          </w:tcPr>
          <w:p w14:paraId="74B9A700">
            <w:pPr>
              <w:widowControl/>
              <w:overflowPunct w:val="0"/>
              <w:autoSpaceDE w:val="0"/>
              <w:autoSpaceDN w:val="0"/>
              <w:adjustRightInd w:val="0"/>
              <w:spacing w:line="360" w:lineRule="auto"/>
              <w:jc w:val="left"/>
              <w:textAlignment w:val="baseline"/>
              <w:rPr>
                <w:rFonts w:hint="eastAsia" w:ascii="宋体" w:hAnsi="宋体" w:cs="宋体"/>
                <w:b/>
                <w:bCs/>
                <w:color w:val="auto"/>
                <w:kern w:val="0"/>
                <w:szCs w:val="21"/>
                <w:highlight w:val="none"/>
              </w:rPr>
            </w:pPr>
            <w:r>
              <w:rPr>
                <w:rFonts w:hint="eastAsia" w:ascii="宋体" w:hAnsi="宋体" w:cs="宋体"/>
                <w:color w:val="auto"/>
                <w:kern w:val="0"/>
                <w:szCs w:val="21"/>
                <w:highlight w:val="none"/>
              </w:rPr>
              <w:t>各投标人的最终得分为A+B+C</w:t>
            </w:r>
          </w:p>
        </w:tc>
      </w:tr>
      <w:tr w14:paraId="1C52B8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10097" w:type="dxa"/>
            <w:gridSpan w:val="5"/>
            <w:tcBorders>
              <w:top w:val="single" w:color="auto" w:sz="4" w:space="0"/>
              <w:left w:val="single" w:color="auto" w:sz="4" w:space="0"/>
              <w:bottom w:val="single" w:color="auto" w:sz="4" w:space="0"/>
              <w:right w:val="single" w:color="auto" w:sz="4" w:space="0"/>
            </w:tcBorders>
            <w:noWrap/>
            <w:vAlign w:val="center"/>
          </w:tcPr>
          <w:p w14:paraId="4279A8D2">
            <w:pPr>
              <w:widowControl/>
              <w:overflowPunct w:val="0"/>
              <w:autoSpaceDE w:val="0"/>
              <w:autoSpaceDN w:val="0"/>
              <w:adjustRightInd w:val="0"/>
              <w:spacing w:line="360" w:lineRule="auto"/>
              <w:jc w:val="left"/>
              <w:textAlignment w:val="baseline"/>
              <w:rPr>
                <w:rFonts w:hint="eastAsia" w:ascii="宋体" w:hAnsi="宋体" w:cs="宋体"/>
                <w:b/>
                <w:bCs/>
                <w:color w:val="auto"/>
                <w:kern w:val="0"/>
                <w:szCs w:val="21"/>
                <w:highlight w:val="none"/>
              </w:rPr>
            </w:pPr>
            <w:r>
              <w:rPr>
                <w:rFonts w:hint="eastAsia" w:ascii="宋体" w:hAnsi="宋体" w:cs="宋体"/>
                <w:color w:val="auto"/>
                <w:highlight w:val="none"/>
              </w:rPr>
              <w:t>注：本招标文件所有技术商务中要求投标人提供的查询网址链接，若评标委员会通过投标人提供的查询网址链接无法查询或查询到信息不符合招标文件要求的，评标委员会将按照不利于投标人的内容进行认定。</w:t>
            </w:r>
          </w:p>
        </w:tc>
      </w:tr>
    </w:tbl>
    <w:p w14:paraId="57AAAEC5">
      <w:pPr>
        <w:topLinePunct/>
        <w:autoSpaceDE w:val="0"/>
        <w:autoSpaceDN w:val="0"/>
        <w:ind w:firstLine="420" w:firstLineChars="200"/>
        <w:rPr>
          <w:rFonts w:ascii="Times New Roman" w:hAnsi="Times New Roman"/>
          <w:color w:val="auto"/>
          <w:szCs w:val="21"/>
          <w:highlight w:val="none"/>
        </w:rPr>
      </w:pPr>
      <w:r>
        <w:rPr>
          <w:rFonts w:ascii="Times New Roman" w:hAnsi="Times New Roman"/>
          <w:color w:val="auto"/>
          <w:szCs w:val="21"/>
          <w:highlight w:val="none"/>
        </w:rPr>
        <w:t>2.3 落实政府采购政策进行价格调整的规则：</w:t>
      </w:r>
    </w:p>
    <w:tbl>
      <w:tblPr>
        <w:tblStyle w:val="19"/>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2072"/>
        <w:gridCol w:w="4844"/>
      </w:tblGrid>
      <w:tr w14:paraId="77C2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38EBC2D4">
            <w:pPr>
              <w:pStyle w:val="25"/>
              <w:widowControl w:val="0"/>
              <w:spacing w:line="360" w:lineRule="auto"/>
              <w:jc w:val="center"/>
              <w:rPr>
                <w:rFonts w:hint="default" w:ascii="Times New Roman" w:hAnsi="Times New Roman"/>
                <w:b/>
                <w:color w:val="auto"/>
                <w:kern w:val="2"/>
                <w:sz w:val="21"/>
                <w:szCs w:val="21"/>
                <w:highlight w:val="none"/>
              </w:rPr>
            </w:pPr>
            <w:r>
              <w:rPr>
                <w:rFonts w:hint="default" w:ascii="Times New Roman" w:hAnsi="Times New Roman"/>
                <w:b/>
                <w:color w:val="auto"/>
                <w:kern w:val="2"/>
                <w:sz w:val="21"/>
                <w:szCs w:val="21"/>
                <w:highlight w:val="none"/>
              </w:rPr>
              <w:t>政府采购政策</w:t>
            </w:r>
          </w:p>
        </w:tc>
        <w:tc>
          <w:tcPr>
            <w:tcW w:w="2072" w:type="dxa"/>
            <w:vAlign w:val="center"/>
          </w:tcPr>
          <w:p w14:paraId="3C9488F9">
            <w:pPr>
              <w:pStyle w:val="25"/>
              <w:widowControl w:val="0"/>
              <w:spacing w:line="360" w:lineRule="auto"/>
              <w:jc w:val="center"/>
              <w:rPr>
                <w:rFonts w:hint="default" w:ascii="Times New Roman" w:hAnsi="Times New Roman"/>
                <w:b/>
                <w:color w:val="auto"/>
                <w:kern w:val="2"/>
                <w:sz w:val="21"/>
                <w:szCs w:val="21"/>
                <w:highlight w:val="none"/>
              </w:rPr>
            </w:pPr>
            <w:r>
              <w:rPr>
                <w:rFonts w:hint="default" w:ascii="Times New Roman" w:hAnsi="Times New Roman"/>
                <w:b/>
                <w:color w:val="auto"/>
                <w:kern w:val="2"/>
                <w:sz w:val="21"/>
                <w:szCs w:val="21"/>
                <w:highlight w:val="none"/>
              </w:rPr>
              <w:t>价格扣除规则</w:t>
            </w:r>
          </w:p>
        </w:tc>
        <w:tc>
          <w:tcPr>
            <w:tcW w:w="4844" w:type="dxa"/>
            <w:vAlign w:val="center"/>
          </w:tcPr>
          <w:p w14:paraId="7BA947C7">
            <w:pPr>
              <w:pStyle w:val="25"/>
              <w:widowControl w:val="0"/>
              <w:spacing w:line="360" w:lineRule="auto"/>
              <w:jc w:val="center"/>
              <w:rPr>
                <w:rFonts w:hint="default" w:ascii="Times New Roman" w:hAnsi="Times New Roman"/>
                <w:b/>
                <w:color w:val="auto"/>
                <w:kern w:val="2"/>
                <w:sz w:val="21"/>
                <w:szCs w:val="21"/>
                <w:highlight w:val="none"/>
              </w:rPr>
            </w:pPr>
            <w:r>
              <w:rPr>
                <w:rFonts w:hint="default" w:ascii="Times New Roman" w:hAnsi="Times New Roman"/>
                <w:b/>
                <w:color w:val="auto"/>
                <w:kern w:val="2"/>
                <w:sz w:val="21"/>
                <w:szCs w:val="21"/>
                <w:highlight w:val="none"/>
              </w:rPr>
              <w:t>享受价格扣除的条件</w:t>
            </w:r>
          </w:p>
        </w:tc>
      </w:tr>
      <w:tr w14:paraId="00665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57EF26D1">
            <w:pPr>
              <w:pStyle w:val="25"/>
              <w:widowControl w:val="0"/>
              <w:spacing w:line="360" w:lineRule="auto"/>
              <w:jc w:val="center"/>
              <w:rPr>
                <w:rFonts w:ascii="宋体" w:hAnsi="宋体"/>
                <w:color w:val="auto"/>
                <w:kern w:val="2"/>
                <w:sz w:val="21"/>
                <w:szCs w:val="21"/>
                <w:highlight w:val="none"/>
              </w:rPr>
            </w:pPr>
            <w:r>
              <w:rPr>
                <w:rFonts w:ascii="宋体" w:hAnsi="宋体"/>
                <w:color w:val="auto"/>
                <w:kern w:val="2"/>
                <w:sz w:val="21"/>
                <w:szCs w:val="21"/>
                <w:highlight w:val="none"/>
              </w:rPr>
              <w:t>节约能源政策</w:t>
            </w:r>
          </w:p>
        </w:tc>
        <w:tc>
          <w:tcPr>
            <w:tcW w:w="6916" w:type="dxa"/>
            <w:gridSpan w:val="2"/>
            <w:shd w:val="clear" w:color="auto" w:fill="auto"/>
            <w:vAlign w:val="center"/>
          </w:tcPr>
          <w:p w14:paraId="4DBB9BC2">
            <w:pPr>
              <w:pStyle w:val="25"/>
              <w:widowControl w:val="0"/>
              <w:spacing w:line="360" w:lineRule="auto"/>
              <w:jc w:val="center"/>
              <w:rPr>
                <w:rFonts w:ascii="宋体" w:hAnsi="宋体"/>
                <w:color w:val="auto"/>
                <w:kern w:val="2"/>
                <w:sz w:val="21"/>
                <w:szCs w:val="21"/>
                <w:highlight w:val="none"/>
              </w:rPr>
            </w:pPr>
            <w:r>
              <w:rPr>
                <w:rFonts w:ascii="宋体" w:hAnsi="宋体" w:cs="宋体"/>
                <w:color w:val="auto"/>
                <w:kern w:val="2"/>
                <w:sz w:val="21"/>
                <w:szCs w:val="21"/>
                <w:highlight w:val="none"/>
              </w:rPr>
              <w:t>本项目不适用</w:t>
            </w:r>
          </w:p>
        </w:tc>
      </w:tr>
      <w:tr w14:paraId="18DA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4F35554A">
            <w:pPr>
              <w:pStyle w:val="25"/>
              <w:widowControl w:val="0"/>
              <w:spacing w:line="360" w:lineRule="auto"/>
              <w:jc w:val="center"/>
              <w:rPr>
                <w:rFonts w:ascii="宋体" w:hAnsi="宋体"/>
                <w:color w:val="auto"/>
                <w:kern w:val="2"/>
                <w:sz w:val="21"/>
                <w:szCs w:val="21"/>
                <w:highlight w:val="none"/>
              </w:rPr>
            </w:pPr>
            <w:r>
              <w:rPr>
                <w:rFonts w:ascii="宋体" w:hAnsi="宋体"/>
                <w:color w:val="auto"/>
                <w:kern w:val="2"/>
                <w:sz w:val="21"/>
                <w:szCs w:val="21"/>
                <w:highlight w:val="none"/>
              </w:rPr>
              <w:t>保护环境政策</w:t>
            </w:r>
          </w:p>
        </w:tc>
        <w:tc>
          <w:tcPr>
            <w:tcW w:w="6916" w:type="dxa"/>
            <w:gridSpan w:val="2"/>
            <w:shd w:val="clear" w:color="auto" w:fill="auto"/>
            <w:vAlign w:val="center"/>
          </w:tcPr>
          <w:p w14:paraId="5A554831">
            <w:pPr>
              <w:pStyle w:val="25"/>
              <w:widowControl w:val="0"/>
              <w:spacing w:line="360" w:lineRule="auto"/>
              <w:jc w:val="center"/>
              <w:rPr>
                <w:rFonts w:ascii="宋体" w:hAnsi="宋体"/>
                <w:color w:val="auto"/>
                <w:kern w:val="2"/>
                <w:sz w:val="21"/>
                <w:szCs w:val="21"/>
                <w:highlight w:val="none"/>
              </w:rPr>
            </w:pPr>
            <w:r>
              <w:rPr>
                <w:rFonts w:ascii="宋体" w:hAnsi="宋体" w:cs="宋体"/>
                <w:color w:val="auto"/>
                <w:kern w:val="2"/>
                <w:sz w:val="21"/>
                <w:szCs w:val="21"/>
                <w:highlight w:val="none"/>
              </w:rPr>
              <w:t>本项目不适用</w:t>
            </w:r>
          </w:p>
        </w:tc>
      </w:tr>
      <w:tr w14:paraId="40EDA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79981297">
            <w:pPr>
              <w:pStyle w:val="25"/>
              <w:widowControl w:val="0"/>
              <w:spacing w:line="360" w:lineRule="auto"/>
              <w:jc w:val="center"/>
              <w:rPr>
                <w:rFonts w:ascii="宋体" w:hAnsi="宋体" w:cs="宋体"/>
                <w:color w:val="auto"/>
                <w:kern w:val="2"/>
                <w:sz w:val="21"/>
                <w:szCs w:val="21"/>
                <w:highlight w:val="none"/>
              </w:rPr>
            </w:pPr>
            <w:r>
              <w:rPr>
                <w:rFonts w:ascii="宋体" w:hAnsi="宋体" w:cs="宋体"/>
                <w:color w:val="auto"/>
                <w:kern w:val="2"/>
                <w:sz w:val="21"/>
                <w:szCs w:val="21"/>
                <w:highlight w:val="none"/>
              </w:rPr>
              <w:t>促进中小企业</w:t>
            </w:r>
          </w:p>
          <w:p w14:paraId="39EBDA09">
            <w:pPr>
              <w:pStyle w:val="25"/>
              <w:widowControl w:val="0"/>
              <w:spacing w:line="360" w:lineRule="auto"/>
              <w:jc w:val="center"/>
              <w:rPr>
                <w:rFonts w:ascii="宋体" w:hAnsi="宋体" w:cs="宋体"/>
                <w:color w:val="auto"/>
                <w:kern w:val="2"/>
                <w:sz w:val="21"/>
                <w:szCs w:val="21"/>
                <w:highlight w:val="none"/>
              </w:rPr>
            </w:pPr>
            <w:r>
              <w:rPr>
                <w:rFonts w:ascii="宋体" w:hAnsi="宋体" w:cs="宋体"/>
                <w:color w:val="auto"/>
                <w:kern w:val="2"/>
                <w:sz w:val="21"/>
                <w:szCs w:val="21"/>
                <w:highlight w:val="none"/>
              </w:rPr>
              <w:t>发展政策</w:t>
            </w:r>
          </w:p>
        </w:tc>
        <w:tc>
          <w:tcPr>
            <w:tcW w:w="2072" w:type="dxa"/>
            <w:vMerge w:val="restart"/>
            <w:vAlign w:val="center"/>
          </w:tcPr>
          <w:p w14:paraId="561B4956">
            <w:pPr>
              <w:pStyle w:val="25"/>
              <w:widowControl w:val="0"/>
              <w:spacing w:line="360" w:lineRule="auto"/>
              <w:jc w:val="center"/>
              <w:rPr>
                <w:rFonts w:ascii="宋体" w:hAnsi="宋体" w:cs="宋体"/>
                <w:color w:val="auto"/>
                <w:kern w:val="2"/>
                <w:sz w:val="21"/>
                <w:szCs w:val="21"/>
                <w:highlight w:val="none"/>
              </w:rPr>
            </w:pPr>
            <w:r>
              <w:rPr>
                <w:rFonts w:ascii="宋体" w:hAnsi="宋体" w:cs="宋体"/>
                <w:color w:val="auto"/>
                <w:kern w:val="2"/>
                <w:sz w:val="21"/>
                <w:szCs w:val="21"/>
                <w:highlight w:val="none"/>
              </w:rPr>
              <w:t>对小型和微型企业的投标价格给予20%的扣除，用扣除后的价格参与评审。</w:t>
            </w:r>
          </w:p>
        </w:tc>
        <w:tc>
          <w:tcPr>
            <w:tcW w:w="4844" w:type="dxa"/>
            <w:vMerge w:val="restart"/>
            <w:vAlign w:val="center"/>
          </w:tcPr>
          <w:p w14:paraId="074B5812">
            <w:pPr>
              <w:widowControl/>
              <w:overflowPunct w:val="0"/>
              <w:autoSpaceDE w:val="0"/>
              <w:autoSpaceDN w:val="0"/>
              <w:adjustRightInd w:val="0"/>
              <w:spacing w:line="360" w:lineRule="auto"/>
              <w:jc w:val="left"/>
              <w:textAlignment w:val="baseline"/>
              <w:rPr>
                <w:rFonts w:hint="eastAsia" w:ascii="宋体" w:hAnsi="宋体" w:cs="宋体"/>
                <w:color w:val="auto"/>
                <w:highlight w:val="none"/>
              </w:rPr>
            </w:pPr>
            <w:r>
              <w:rPr>
                <w:rFonts w:hint="eastAsia" w:ascii="宋体" w:hAnsi="宋体" w:cs="宋体"/>
                <w:color w:val="auto"/>
                <w:highlight w:val="none"/>
              </w:rPr>
              <w:t>在货物采购项目中，满足所有标的均由中小企业制造，即所有标的均由中小企业生产且使用该中小企业商号或者注册商标的，可享受中小企业扶持政策。在服务采购项目中，满足服务由中小企业承接，即提供服务的人员为中小企业依照《中华人民共和国劳动合同法》订立劳动合同的从业人员的，可享受中小企业扶持政策。供应商根据实际情况提供对应材料(格式详见投标文件格式)；</w:t>
            </w:r>
          </w:p>
          <w:p w14:paraId="6E8E3E82">
            <w:pPr>
              <w:widowControl/>
              <w:overflowPunct w:val="0"/>
              <w:autoSpaceDE w:val="0"/>
              <w:autoSpaceDN w:val="0"/>
              <w:adjustRightInd w:val="0"/>
              <w:spacing w:line="360" w:lineRule="auto"/>
              <w:jc w:val="left"/>
              <w:textAlignment w:val="baseline"/>
              <w:rPr>
                <w:rFonts w:hint="eastAsia" w:ascii="宋体" w:hAnsi="宋体" w:cs="宋体"/>
                <w:color w:val="auto"/>
                <w:highlight w:val="none"/>
              </w:rPr>
            </w:pPr>
            <w:r>
              <w:rPr>
                <w:rFonts w:hint="eastAsia" w:ascii="宋体" w:hAnsi="宋体" w:cs="宋体"/>
                <w:color w:val="auto"/>
                <w:highlight w:val="none"/>
              </w:rPr>
              <w:t>1.中小企业声明函(中小企业投标的，应按照《政府采购促进中小企业发展管理办法》(财库(2020)46号印发)《关于印发中小企业划型标准规定的通知》(工信部联企业(2011)300号)如实填写并提交此函)；</w:t>
            </w:r>
          </w:p>
          <w:p w14:paraId="6662521E">
            <w:pPr>
              <w:widowControl/>
              <w:overflowPunct w:val="0"/>
              <w:autoSpaceDE w:val="0"/>
              <w:autoSpaceDN w:val="0"/>
              <w:adjustRightInd w:val="0"/>
              <w:spacing w:line="360" w:lineRule="auto"/>
              <w:jc w:val="left"/>
              <w:textAlignment w:val="baseline"/>
              <w:rPr>
                <w:rFonts w:hint="eastAsia" w:ascii="宋体" w:hAnsi="宋体" w:cs="宋体"/>
                <w:color w:val="auto"/>
                <w:highlight w:val="none"/>
              </w:rPr>
            </w:pPr>
            <w:r>
              <w:rPr>
                <w:rFonts w:hint="eastAsia" w:ascii="宋体" w:hAnsi="宋体" w:cs="宋体"/>
                <w:color w:val="auto"/>
                <w:highlight w:val="none"/>
              </w:rPr>
              <w:t>2.监狱企业证明文件[监狱企业投标的，提交省级以上监狱管理局、戒毒管理局(含新疆生产建设兵团)出具的证明文件]；</w:t>
            </w:r>
          </w:p>
          <w:p w14:paraId="2C896338">
            <w:pPr>
              <w:widowControl/>
              <w:overflowPunct w:val="0"/>
              <w:autoSpaceDE w:val="0"/>
              <w:autoSpaceDN w:val="0"/>
              <w:adjustRightInd w:val="0"/>
              <w:spacing w:line="360" w:lineRule="auto"/>
              <w:jc w:val="left"/>
              <w:textAlignment w:val="baseline"/>
              <w:rPr>
                <w:rFonts w:hint="eastAsia" w:ascii="宋体" w:hAnsi="宋体"/>
                <w:color w:val="auto"/>
                <w:szCs w:val="21"/>
                <w:highlight w:val="none"/>
              </w:rPr>
            </w:pPr>
            <w:r>
              <w:rPr>
                <w:rFonts w:hint="eastAsia" w:ascii="宋体" w:hAnsi="宋体" w:cs="宋体"/>
                <w:color w:val="auto"/>
                <w:highlight w:val="none"/>
              </w:rPr>
              <w:t>3.残疾人福利性单位声明函(残疾人福利性单位投标的，提交此函)。</w:t>
            </w:r>
          </w:p>
        </w:tc>
      </w:tr>
      <w:tr w14:paraId="4FA3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09B655A0">
            <w:pPr>
              <w:pStyle w:val="25"/>
              <w:widowControl w:val="0"/>
              <w:spacing w:line="360" w:lineRule="auto"/>
              <w:jc w:val="center"/>
              <w:rPr>
                <w:rFonts w:ascii="宋体" w:hAnsi="宋体" w:cs="宋体"/>
                <w:color w:val="auto"/>
                <w:kern w:val="2"/>
                <w:sz w:val="21"/>
                <w:szCs w:val="21"/>
                <w:highlight w:val="none"/>
              </w:rPr>
            </w:pPr>
            <w:r>
              <w:rPr>
                <w:rFonts w:ascii="宋体" w:hAnsi="宋体" w:cs="宋体"/>
                <w:color w:val="auto"/>
                <w:kern w:val="2"/>
                <w:sz w:val="21"/>
                <w:szCs w:val="21"/>
                <w:highlight w:val="none"/>
              </w:rPr>
              <w:t>促进残疾人就业政策</w:t>
            </w:r>
          </w:p>
        </w:tc>
        <w:tc>
          <w:tcPr>
            <w:tcW w:w="2072" w:type="dxa"/>
            <w:vMerge w:val="continue"/>
            <w:vAlign w:val="center"/>
          </w:tcPr>
          <w:p w14:paraId="7AD5EEC3">
            <w:pPr>
              <w:pStyle w:val="25"/>
              <w:widowControl w:val="0"/>
              <w:spacing w:line="360" w:lineRule="auto"/>
              <w:jc w:val="center"/>
              <w:rPr>
                <w:rFonts w:ascii="宋体" w:hAnsi="宋体" w:cs="宋体"/>
                <w:color w:val="auto"/>
                <w:kern w:val="2"/>
                <w:sz w:val="21"/>
                <w:szCs w:val="21"/>
                <w:highlight w:val="none"/>
              </w:rPr>
            </w:pPr>
          </w:p>
        </w:tc>
        <w:tc>
          <w:tcPr>
            <w:tcW w:w="4844" w:type="dxa"/>
            <w:vMerge w:val="continue"/>
            <w:vAlign w:val="center"/>
          </w:tcPr>
          <w:p w14:paraId="14988DC3">
            <w:pPr>
              <w:pStyle w:val="25"/>
              <w:widowControl w:val="0"/>
              <w:spacing w:line="360" w:lineRule="auto"/>
              <w:jc w:val="center"/>
              <w:rPr>
                <w:rFonts w:ascii="宋体" w:hAnsi="宋体"/>
                <w:color w:val="auto"/>
                <w:kern w:val="2"/>
                <w:sz w:val="21"/>
                <w:szCs w:val="21"/>
                <w:highlight w:val="none"/>
              </w:rPr>
            </w:pPr>
          </w:p>
        </w:tc>
      </w:tr>
      <w:tr w14:paraId="48FCD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78AF9D19">
            <w:pPr>
              <w:pStyle w:val="25"/>
              <w:widowControl w:val="0"/>
              <w:spacing w:line="360" w:lineRule="auto"/>
              <w:jc w:val="center"/>
              <w:rPr>
                <w:rFonts w:ascii="宋体" w:hAnsi="宋体"/>
                <w:color w:val="auto"/>
                <w:kern w:val="2"/>
                <w:sz w:val="21"/>
                <w:szCs w:val="21"/>
                <w:highlight w:val="none"/>
              </w:rPr>
            </w:pPr>
            <w:r>
              <w:rPr>
                <w:rFonts w:ascii="宋体" w:hAnsi="宋体"/>
                <w:color w:val="auto"/>
                <w:kern w:val="2"/>
                <w:sz w:val="21"/>
                <w:szCs w:val="21"/>
                <w:highlight w:val="none"/>
              </w:rPr>
              <w:t>支持监狱企业</w:t>
            </w:r>
          </w:p>
          <w:p w14:paraId="3EBEB5ED">
            <w:pPr>
              <w:pStyle w:val="25"/>
              <w:widowControl w:val="0"/>
              <w:spacing w:line="360" w:lineRule="auto"/>
              <w:jc w:val="center"/>
              <w:rPr>
                <w:rFonts w:ascii="宋体" w:hAnsi="宋体"/>
                <w:color w:val="auto"/>
                <w:kern w:val="2"/>
                <w:sz w:val="21"/>
                <w:szCs w:val="21"/>
                <w:highlight w:val="none"/>
              </w:rPr>
            </w:pPr>
            <w:r>
              <w:rPr>
                <w:rFonts w:ascii="宋体" w:hAnsi="宋体"/>
                <w:color w:val="auto"/>
                <w:kern w:val="2"/>
                <w:sz w:val="21"/>
                <w:szCs w:val="21"/>
                <w:highlight w:val="none"/>
              </w:rPr>
              <w:t>发展政策</w:t>
            </w:r>
          </w:p>
        </w:tc>
        <w:tc>
          <w:tcPr>
            <w:tcW w:w="2072" w:type="dxa"/>
            <w:vMerge w:val="continue"/>
            <w:vAlign w:val="center"/>
          </w:tcPr>
          <w:p w14:paraId="2A83DA28">
            <w:pPr>
              <w:pStyle w:val="25"/>
              <w:widowControl w:val="0"/>
              <w:spacing w:line="360" w:lineRule="auto"/>
              <w:jc w:val="center"/>
              <w:rPr>
                <w:rFonts w:ascii="宋体" w:hAnsi="宋体"/>
                <w:color w:val="auto"/>
                <w:kern w:val="2"/>
                <w:sz w:val="21"/>
                <w:szCs w:val="21"/>
                <w:highlight w:val="none"/>
              </w:rPr>
            </w:pPr>
          </w:p>
        </w:tc>
        <w:tc>
          <w:tcPr>
            <w:tcW w:w="4844" w:type="dxa"/>
            <w:vMerge w:val="continue"/>
            <w:vAlign w:val="center"/>
          </w:tcPr>
          <w:p w14:paraId="00A789AA">
            <w:pPr>
              <w:pStyle w:val="25"/>
              <w:widowControl w:val="0"/>
              <w:spacing w:line="360" w:lineRule="auto"/>
              <w:jc w:val="center"/>
              <w:rPr>
                <w:rFonts w:ascii="宋体" w:hAnsi="宋体"/>
                <w:color w:val="auto"/>
                <w:kern w:val="2"/>
                <w:sz w:val="21"/>
                <w:szCs w:val="21"/>
                <w:highlight w:val="none"/>
              </w:rPr>
            </w:pPr>
          </w:p>
        </w:tc>
      </w:tr>
    </w:tbl>
    <w:p w14:paraId="087DFFB5">
      <w:pPr>
        <w:pStyle w:val="2"/>
        <w:rPr>
          <w:color w:val="auto"/>
          <w:highlight w:val="none"/>
        </w:rPr>
      </w:pPr>
    </w:p>
    <w:p w14:paraId="0D014797">
      <w:pPr>
        <w:pStyle w:val="25"/>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2.4推荐中标候选人</w:t>
      </w:r>
    </w:p>
    <w:p w14:paraId="2B366743">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14:paraId="2FBC38FE">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2.4.2本采购包推荐中标候选人的数量：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1</w:t>
      </w:r>
      <w:r>
        <w:rPr>
          <w:rFonts w:ascii="Times New Roman" w:hAnsi="Times New Roman"/>
          <w:color w:val="auto"/>
          <w:szCs w:val="21"/>
          <w:highlight w:val="none"/>
          <w:u w:val="single"/>
        </w:rPr>
        <w:t xml:space="preserve"> </w:t>
      </w:r>
      <w:r>
        <w:rPr>
          <w:rFonts w:ascii="Times New Roman" w:hAnsi="Times New Roman"/>
          <w:color w:val="auto"/>
          <w:szCs w:val="21"/>
          <w:highlight w:val="none"/>
        </w:rPr>
        <w:t>家。</w:t>
      </w:r>
    </w:p>
    <w:p w14:paraId="16215542">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1</w:t>
      </w:r>
      <w:r>
        <w:rPr>
          <w:rFonts w:ascii="Times New Roman" w:hAnsi="Times New Roman"/>
          <w:color w:val="auto"/>
          <w:szCs w:val="21"/>
          <w:highlight w:val="none"/>
          <w:u w:val="single"/>
        </w:rPr>
        <w:t xml:space="preserve"> </w:t>
      </w:r>
      <w:r>
        <w:rPr>
          <w:rFonts w:ascii="Times New Roman" w:hAnsi="Times New Roman"/>
          <w:color w:val="auto"/>
          <w:szCs w:val="21"/>
          <w:highlight w:val="none"/>
        </w:rPr>
        <w:t>家。</w:t>
      </w:r>
    </w:p>
    <w:p w14:paraId="724CB602">
      <w:pPr>
        <w:widowControl/>
        <w:topLinePunct/>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中标候选人并列的，</w:t>
      </w:r>
      <w:r>
        <w:rPr>
          <w:rFonts w:hint="eastAsia" w:ascii="宋体" w:hAnsi="宋体"/>
          <w:color w:val="auto"/>
          <w:szCs w:val="21"/>
          <w:highlight w:val="none"/>
        </w:rPr>
        <w:t>按价格得分由高到低顺序排列推荐中标候选人，若综合得分和价格得分均相同的，则按技术因素得分由高到低顺序推荐中标候选人，若综合得分、价格得分、技术因素得分均相同的，</w:t>
      </w:r>
      <w:r>
        <w:rPr>
          <w:rFonts w:ascii="宋体" w:hAnsi="宋体"/>
          <w:color w:val="auto"/>
          <w:szCs w:val="21"/>
          <w:highlight w:val="none"/>
        </w:rPr>
        <w:t>采取</w:t>
      </w:r>
      <w:r>
        <w:rPr>
          <w:rFonts w:ascii="宋体" w:hAnsi="宋体" w:cs="宋体"/>
          <w:color w:val="auto"/>
          <w:szCs w:val="21"/>
          <w:highlight w:val="none"/>
        </w:rPr>
        <w:t>随机</w:t>
      </w:r>
      <w:r>
        <w:rPr>
          <w:rFonts w:ascii="宋体" w:hAnsi="宋体"/>
          <w:color w:val="auto"/>
          <w:szCs w:val="21"/>
          <w:highlight w:val="none"/>
        </w:rPr>
        <w:t>抽取的方式确定。</w:t>
      </w:r>
    </w:p>
    <w:p w14:paraId="203E3C83">
      <w:pPr>
        <w:rPr>
          <w:color w:val="auto"/>
          <w:szCs w:val="21"/>
          <w:highlight w:val="none"/>
        </w:rPr>
        <w:sectPr>
          <w:pgSz w:w="11906" w:h="16838"/>
          <w:pgMar w:top="1440" w:right="1752" w:bottom="1440" w:left="1752" w:header="851" w:footer="992" w:gutter="0"/>
          <w:cols w:space="720" w:num="1"/>
          <w:titlePg/>
          <w:docGrid w:type="lines" w:linePitch="312" w:charSpace="0"/>
        </w:sectPr>
      </w:pPr>
    </w:p>
    <w:p w14:paraId="4F010EE3">
      <w:pPr>
        <w:jc w:val="center"/>
        <w:rPr>
          <w:rFonts w:hint="eastAsia" w:ascii="华文中宋" w:hAnsi="华文中宋" w:eastAsia="华文中宋" w:cs="华文中宋"/>
          <w:color w:val="auto"/>
          <w:sz w:val="28"/>
          <w:szCs w:val="28"/>
          <w:highlight w:val="none"/>
        </w:rPr>
      </w:pPr>
      <w:bookmarkStart w:id="24" w:name="_Toc1406510925"/>
      <w:bookmarkStart w:id="25" w:name="_Toc1484421284"/>
      <w:bookmarkStart w:id="26" w:name="_Toc1914430521"/>
      <w:bookmarkStart w:id="27" w:name="_Toc614538032"/>
      <w:bookmarkStart w:id="28" w:name="_Toc132880283"/>
      <w:bookmarkStart w:id="29" w:name="_Toc1505390621"/>
      <w:bookmarkStart w:id="30" w:name="_Toc353483817"/>
      <w:bookmarkStart w:id="31" w:name="_Toc525052847"/>
      <w:bookmarkStart w:id="32" w:name="_Toc38030150"/>
      <w:r>
        <w:rPr>
          <w:rFonts w:hint="eastAsia" w:ascii="华文中宋" w:hAnsi="华文中宋" w:eastAsia="华文中宋" w:cs="华文中宋"/>
          <w:color w:val="auto"/>
          <w:sz w:val="28"/>
          <w:szCs w:val="28"/>
          <w:highlight w:val="none"/>
        </w:rPr>
        <w:t>第四章  政府采购合同文本</w:t>
      </w:r>
      <w:bookmarkEnd w:id="24"/>
      <w:bookmarkEnd w:id="25"/>
      <w:bookmarkEnd w:id="26"/>
      <w:bookmarkEnd w:id="27"/>
      <w:bookmarkEnd w:id="28"/>
      <w:bookmarkEnd w:id="29"/>
      <w:bookmarkEnd w:id="30"/>
      <w:bookmarkEnd w:id="31"/>
      <w:bookmarkEnd w:id="32"/>
    </w:p>
    <w:p w14:paraId="68FAD2EA">
      <w:pPr>
        <w:pStyle w:val="12"/>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合 同 书</w:t>
      </w:r>
    </w:p>
    <w:p w14:paraId="778822F2">
      <w:pPr>
        <w:pStyle w:val="12"/>
        <w:jc w:val="center"/>
        <w:rPr>
          <w:rFonts w:hint="eastAsia" w:ascii="华文中宋" w:hAnsi="华文中宋" w:eastAsia="华文中宋" w:cs="华文中宋"/>
          <w:bCs/>
          <w:color w:val="auto"/>
          <w:sz w:val="32"/>
          <w:szCs w:val="32"/>
          <w:highlight w:val="none"/>
        </w:rPr>
      </w:pPr>
    </w:p>
    <w:p w14:paraId="79591FB4">
      <w:pPr>
        <w:tabs>
          <w:tab w:val="left" w:pos="540"/>
          <w:tab w:val="left" w:pos="1080"/>
          <w:tab w:val="left" w:pos="1440"/>
        </w:tabs>
        <w:snapToGrid w:val="0"/>
        <w:jc w:val="center"/>
        <w:rPr>
          <w:rFonts w:hint="eastAsia" w:ascii="宋体" w:hAnsi="宋体" w:cs="宋体"/>
          <w:color w:val="auto"/>
          <w:sz w:val="32"/>
          <w:szCs w:val="32"/>
          <w:highlight w:val="none"/>
        </w:rPr>
      </w:pPr>
    </w:p>
    <w:p w14:paraId="14FBFB73">
      <w:pPr>
        <w:tabs>
          <w:tab w:val="left" w:pos="540"/>
          <w:tab w:val="left" w:pos="1080"/>
          <w:tab w:val="left" w:pos="1440"/>
        </w:tabs>
        <w:snapToGrid w:val="0"/>
        <w:jc w:val="center"/>
        <w:rPr>
          <w:rFonts w:hint="eastAsia" w:ascii="宋体" w:hAnsi="宋体" w:cs="宋体"/>
          <w:color w:val="auto"/>
          <w:sz w:val="32"/>
          <w:szCs w:val="32"/>
          <w:highlight w:val="none"/>
        </w:rPr>
      </w:pPr>
    </w:p>
    <w:p w14:paraId="5FFDF684">
      <w:pPr>
        <w:tabs>
          <w:tab w:val="left" w:pos="540"/>
          <w:tab w:val="left" w:pos="1080"/>
          <w:tab w:val="left" w:pos="1440"/>
        </w:tabs>
        <w:snapToGrid w:val="0"/>
        <w:jc w:val="center"/>
        <w:rPr>
          <w:rFonts w:hint="eastAsia" w:ascii="宋体" w:hAnsi="宋体" w:cs="宋体"/>
          <w:color w:val="auto"/>
          <w:sz w:val="32"/>
          <w:szCs w:val="32"/>
          <w:highlight w:val="none"/>
        </w:rPr>
      </w:pPr>
    </w:p>
    <w:p w14:paraId="42F80447">
      <w:pPr>
        <w:tabs>
          <w:tab w:val="left" w:pos="540"/>
          <w:tab w:val="left" w:pos="1080"/>
          <w:tab w:val="left" w:pos="1440"/>
        </w:tabs>
        <w:snapToGrid w:val="0"/>
        <w:ind w:left="1680" w:leftChars="800"/>
        <w:jc w:val="center"/>
        <w:rPr>
          <w:rFonts w:hint="eastAsia" w:ascii="宋体" w:hAnsi="宋体" w:cs="宋体"/>
          <w:color w:val="auto"/>
          <w:sz w:val="32"/>
          <w:szCs w:val="32"/>
          <w:highlight w:val="none"/>
        </w:rPr>
      </w:pPr>
    </w:p>
    <w:p w14:paraId="7F4F9A8D">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项目名称：</w:t>
      </w:r>
      <w:r>
        <w:rPr>
          <w:rFonts w:hint="eastAsia" w:ascii="方正小标宋简体" w:hAnsi="方正小标宋简体" w:eastAsia="方正小标宋简体" w:cs="方正小标宋简体"/>
          <w:bCs/>
          <w:color w:val="auto"/>
          <w:sz w:val="24"/>
          <w:szCs w:val="24"/>
          <w:highlight w:val="none"/>
          <w:u w:val="single"/>
        </w:rPr>
        <w:t xml:space="preserve">                   </w:t>
      </w:r>
    </w:p>
    <w:p w14:paraId="1996C7D7">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包    号：</w:t>
      </w:r>
      <w:r>
        <w:rPr>
          <w:rFonts w:hint="eastAsia" w:ascii="方正小标宋简体" w:hAnsi="方正小标宋简体" w:eastAsia="方正小标宋简体" w:cs="方正小标宋简体"/>
          <w:bCs/>
          <w:color w:val="auto"/>
          <w:sz w:val="24"/>
          <w:szCs w:val="24"/>
          <w:highlight w:val="none"/>
          <w:u w:val="single"/>
        </w:rPr>
        <w:t xml:space="preserve">                   </w:t>
      </w:r>
    </w:p>
    <w:p w14:paraId="038B5AF4">
      <w:pPr>
        <w:tabs>
          <w:tab w:val="left" w:pos="540"/>
          <w:tab w:val="left" w:pos="1080"/>
          <w:tab w:val="left" w:pos="1440"/>
        </w:tabs>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合同编号：</w:t>
      </w:r>
      <w:r>
        <w:rPr>
          <w:rFonts w:hint="eastAsia" w:ascii="方正小标宋简体" w:hAnsi="方正小标宋简体" w:eastAsia="方正小标宋简体" w:cs="方正小标宋简体"/>
          <w:bCs/>
          <w:color w:val="auto"/>
          <w:sz w:val="24"/>
          <w:szCs w:val="24"/>
          <w:highlight w:val="none"/>
          <w:u w:val="single"/>
        </w:rPr>
        <w:t xml:space="preserve">                   </w:t>
      </w:r>
      <w:r>
        <w:rPr>
          <w:rFonts w:hint="eastAsia" w:ascii="方正小标宋简体" w:hAnsi="方正小标宋简体" w:eastAsia="方正小标宋简体" w:cs="方正小标宋简体"/>
          <w:bCs/>
          <w:color w:val="auto"/>
          <w:sz w:val="24"/>
          <w:szCs w:val="24"/>
          <w:highlight w:val="none"/>
        </w:rPr>
        <w:t xml:space="preserve"> </w:t>
      </w:r>
    </w:p>
    <w:p w14:paraId="156E3910">
      <w:pPr>
        <w:tabs>
          <w:tab w:val="left" w:pos="2160"/>
        </w:tabs>
        <w:topLinePunct/>
        <w:autoSpaceDE w:val="0"/>
        <w:autoSpaceDN w:val="0"/>
        <w:snapToGrid w:val="0"/>
        <w:spacing w:line="360" w:lineRule="auto"/>
        <w:ind w:left="2880" w:leftChars="800" w:hanging="1200" w:hangingChars="500"/>
        <w:rPr>
          <w:rFonts w:hint="eastAsia" w:ascii="方正小标宋简体" w:hAnsi="方正小标宋简体" w:eastAsia="方正小标宋简体" w:cs="方正小标宋简体"/>
          <w:bCs/>
          <w:color w:val="auto"/>
          <w:sz w:val="24"/>
          <w:szCs w:val="24"/>
          <w:highlight w:val="none"/>
        </w:rPr>
      </w:pPr>
    </w:p>
    <w:p w14:paraId="0910977B">
      <w:pPr>
        <w:pStyle w:val="12"/>
        <w:spacing w:line="460" w:lineRule="exact"/>
        <w:jc w:val="center"/>
        <w:rPr>
          <w:rFonts w:hint="eastAsia" w:ascii="方正小标宋简体" w:hAnsi="方正小标宋简体" w:eastAsia="方正小标宋简体" w:cs="方正小标宋简体"/>
          <w:bCs/>
          <w:color w:val="auto"/>
          <w:sz w:val="24"/>
          <w:szCs w:val="24"/>
          <w:highlight w:val="none"/>
        </w:rPr>
      </w:pPr>
    </w:p>
    <w:p w14:paraId="2268585F">
      <w:pPr>
        <w:pStyle w:val="12"/>
        <w:tabs>
          <w:tab w:val="left" w:pos="3045"/>
        </w:tabs>
        <w:spacing w:line="460" w:lineRule="exact"/>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ab/>
      </w:r>
    </w:p>
    <w:p w14:paraId="59B9DFE6">
      <w:pPr>
        <w:pStyle w:val="12"/>
        <w:spacing w:line="460" w:lineRule="exact"/>
        <w:rPr>
          <w:rFonts w:hint="eastAsia" w:ascii="方正小标宋简体" w:hAnsi="方正小标宋简体" w:eastAsia="方正小标宋简体" w:cs="方正小标宋简体"/>
          <w:bCs/>
          <w:color w:val="auto"/>
          <w:sz w:val="24"/>
          <w:szCs w:val="24"/>
          <w:highlight w:val="none"/>
        </w:rPr>
      </w:pPr>
    </w:p>
    <w:p w14:paraId="45138A8C">
      <w:pPr>
        <w:pStyle w:val="12"/>
        <w:spacing w:line="460" w:lineRule="exact"/>
        <w:jc w:val="center"/>
        <w:rPr>
          <w:rFonts w:hint="eastAsia" w:ascii="方正小标宋简体" w:hAnsi="方正小标宋简体" w:eastAsia="方正小标宋简体" w:cs="方正小标宋简体"/>
          <w:bCs/>
          <w:color w:val="auto"/>
          <w:sz w:val="24"/>
          <w:szCs w:val="24"/>
          <w:highlight w:val="none"/>
        </w:rPr>
      </w:pPr>
    </w:p>
    <w:p w14:paraId="63D43B38">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 xml:space="preserve">甲    方： </w:t>
      </w:r>
      <w:r>
        <w:rPr>
          <w:rFonts w:hint="eastAsia" w:ascii="方正小标宋简体" w:hAnsi="方正小标宋简体" w:eastAsia="方正小标宋简体" w:cs="方正小标宋简体"/>
          <w:bCs/>
          <w:color w:val="auto"/>
          <w:sz w:val="24"/>
          <w:szCs w:val="24"/>
          <w:highlight w:val="none"/>
          <w:u w:val="single"/>
        </w:rPr>
        <w:t>国家税务总局XX税务局</w:t>
      </w:r>
    </w:p>
    <w:p w14:paraId="41B57068">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乙    方： </w:t>
      </w:r>
      <w:r>
        <w:rPr>
          <w:rFonts w:hint="eastAsia" w:ascii="方正小标宋简体" w:hAnsi="方正小标宋简体" w:eastAsia="方正小标宋简体" w:cs="方正小标宋简体"/>
          <w:bCs/>
          <w:color w:val="auto"/>
          <w:sz w:val="24"/>
          <w:szCs w:val="24"/>
          <w:highlight w:val="none"/>
          <w:u w:val="single"/>
        </w:rPr>
        <w:t xml:space="preserve">                     </w:t>
      </w:r>
    </w:p>
    <w:p w14:paraId="0605662C">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日    期： </w:t>
      </w:r>
      <w:r>
        <w:rPr>
          <w:rFonts w:hint="eastAsia" w:ascii="方正小标宋简体" w:hAnsi="方正小标宋简体" w:eastAsia="方正小标宋简体" w:cs="方正小标宋简体"/>
          <w:bCs/>
          <w:color w:val="auto"/>
          <w:sz w:val="24"/>
          <w:szCs w:val="24"/>
          <w:highlight w:val="none"/>
          <w:u w:val="single"/>
        </w:rPr>
        <w:t xml:space="preserve">        年    月   日</w:t>
      </w:r>
    </w:p>
    <w:p w14:paraId="3E895255">
      <w:pPr>
        <w:spacing w:line="300" w:lineRule="auto"/>
        <w:jc w:val="center"/>
        <w:rPr>
          <w:rFonts w:hint="eastAsia" w:ascii="宋体" w:hAnsi="宋体" w:cs="宋体"/>
          <w:b/>
          <w:color w:val="auto"/>
          <w:sz w:val="24"/>
          <w:szCs w:val="24"/>
          <w:highlight w:val="none"/>
        </w:rPr>
      </w:pPr>
      <w:r>
        <w:rPr>
          <w:rFonts w:hint="eastAsia" w:ascii="方正小标宋简体" w:hAnsi="方正小标宋简体" w:eastAsia="方正小标宋简体" w:cs="方正小标宋简体"/>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14:paraId="4BAC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0C95C7DB">
            <w:pPr>
              <w:tabs>
                <w:tab w:val="left" w:pos="700"/>
              </w:tabs>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14:paraId="02CCDEB7">
            <w:pPr>
              <w:tabs>
                <w:tab w:val="left" w:pos="700"/>
              </w:tabs>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        容</w:t>
            </w:r>
          </w:p>
        </w:tc>
      </w:tr>
      <w:tr w14:paraId="40DE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1135C009">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0C4E708">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14:paraId="43DE4FEF">
            <w:pPr>
              <w:tabs>
                <w:tab w:val="left" w:pos="700"/>
              </w:tabs>
              <w:adjustRightInd w:val="0"/>
              <w:snapToGrid w:val="0"/>
              <w:rPr>
                <w:rFonts w:ascii="Times New Roman" w:hAnsi="Times New Roman"/>
                <w:bCs/>
                <w:color w:val="auto"/>
                <w:szCs w:val="21"/>
                <w:highlight w:val="none"/>
              </w:rPr>
            </w:pPr>
          </w:p>
        </w:tc>
      </w:tr>
      <w:tr w14:paraId="0E38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02F27ED3">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0BD92522">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14:paraId="6D9EAE3C">
            <w:pPr>
              <w:tabs>
                <w:tab w:val="left" w:pos="2160"/>
              </w:tabs>
              <w:topLinePunct/>
              <w:autoSpaceDE w:val="0"/>
              <w:autoSpaceDN w:val="0"/>
              <w:adjustRightInd w:val="0"/>
              <w:snapToGrid w:val="0"/>
              <w:rPr>
                <w:rFonts w:ascii="Times New Roman" w:hAnsi="Times New Roman"/>
                <w:bCs/>
                <w:color w:val="auto"/>
                <w:szCs w:val="21"/>
                <w:highlight w:val="none"/>
              </w:rPr>
            </w:pPr>
          </w:p>
        </w:tc>
      </w:tr>
      <w:tr w14:paraId="4E3D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5448A205">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55C08A95">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14:paraId="51170ADB">
            <w:pPr>
              <w:tabs>
                <w:tab w:val="left" w:pos="2160"/>
              </w:tabs>
              <w:topLinePunct/>
              <w:autoSpaceDE w:val="0"/>
              <w:autoSpaceDN w:val="0"/>
              <w:adjustRightInd w:val="0"/>
              <w:snapToGrid w:val="0"/>
              <w:rPr>
                <w:rFonts w:ascii="Times New Roman" w:hAnsi="Times New Roman"/>
                <w:b/>
                <w:bCs/>
                <w:color w:val="auto"/>
                <w:szCs w:val="21"/>
                <w:highlight w:val="none"/>
              </w:rPr>
            </w:pPr>
          </w:p>
        </w:tc>
      </w:tr>
      <w:tr w14:paraId="3E5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1EA6DB7D">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6CA79BEA">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14:paraId="158C6F70">
            <w:pPr>
              <w:tabs>
                <w:tab w:val="left" w:pos="2160"/>
              </w:tabs>
              <w:topLinePunct/>
              <w:autoSpaceDE w:val="0"/>
              <w:autoSpaceDN w:val="0"/>
              <w:adjustRightInd w:val="0"/>
              <w:snapToGrid w:val="0"/>
              <w:rPr>
                <w:rFonts w:ascii="Times New Roman" w:hAnsi="Times New Roman"/>
                <w:b/>
                <w:bCs/>
                <w:color w:val="auto"/>
                <w:szCs w:val="21"/>
                <w:highlight w:val="none"/>
              </w:rPr>
            </w:pPr>
          </w:p>
        </w:tc>
      </w:tr>
      <w:tr w14:paraId="791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14:paraId="25928CF6">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14:paraId="4FB1F4B8">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14:paraId="0F7CDC55">
            <w:pPr>
              <w:tabs>
                <w:tab w:val="left" w:pos="700"/>
              </w:tabs>
              <w:adjustRightInd w:val="0"/>
              <w:snapToGrid w:val="0"/>
              <w:rPr>
                <w:rFonts w:ascii="Times New Roman" w:hAnsi="Times New Roman"/>
                <w:color w:val="auto"/>
                <w:szCs w:val="21"/>
                <w:highlight w:val="none"/>
              </w:rPr>
            </w:pPr>
          </w:p>
        </w:tc>
      </w:tr>
      <w:tr w14:paraId="32AC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7CD96DBA">
            <w:pPr>
              <w:widowControl/>
              <w:adjustRightInd w:val="0"/>
              <w:snapToGrid w:val="0"/>
              <w:rPr>
                <w:rFonts w:ascii="Times New Roman" w:hAnsi="Times New Roman"/>
                <w:color w:val="auto"/>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14:paraId="27941B6C">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14:paraId="149F7270">
            <w:pPr>
              <w:tabs>
                <w:tab w:val="left" w:pos="700"/>
              </w:tabs>
              <w:adjustRightInd w:val="0"/>
              <w:snapToGrid w:val="0"/>
              <w:rPr>
                <w:rFonts w:ascii="Times New Roman" w:hAnsi="Times New Roman"/>
                <w:color w:val="auto"/>
                <w:szCs w:val="21"/>
                <w:highlight w:val="none"/>
              </w:rPr>
            </w:pPr>
          </w:p>
        </w:tc>
      </w:tr>
      <w:tr w14:paraId="030A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47D4C9F5">
            <w:pPr>
              <w:widowControl/>
              <w:adjustRightInd w:val="0"/>
              <w:snapToGrid w:val="0"/>
              <w:rPr>
                <w:rFonts w:ascii="Times New Roman" w:hAnsi="Times New Roman"/>
                <w:color w:val="auto"/>
                <w:szCs w:val="21"/>
                <w:highlight w:val="none"/>
              </w:rPr>
            </w:pPr>
          </w:p>
        </w:tc>
        <w:tc>
          <w:tcPr>
            <w:tcW w:w="409" w:type="dxa"/>
            <w:vMerge w:val="restart"/>
            <w:tcBorders>
              <w:top w:val="single" w:color="auto" w:sz="6" w:space="0"/>
              <w:left w:val="single" w:color="auto" w:sz="4" w:space="0"/>
              <w:right w:val="single" w:color="auto" w:sz="4" w:space="0"/>
            </w:tcBorders>
            <w:vAlign w:val="center"/>
          </w:tcPr>
          <w:p w14:paraId="661F992A">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14:paraId="01633502">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14:paraId="18449360">
            <w:pPr>
              <w:tabs>
                <w:tab w:val="left" w:pos="700"/>
              </w:tabs>
              <w:adjustRightInd w:val="0"/>
              <w:snapToGrid w:val="0"/>
              <w:rPr>
                <w:rFonts w:ascii="Times New Roman" w:hAnsi="Times New Roman"/>
                <w:color w:val="auto"/>
                <w:szCs w:val="21"/>
                <w:highlight w:val="none"/>
              </w:rPr>
            </w:pPr>
          </w:p>
        </w:tc>
      </w:tr>
      <w:tr w14:paraId="1AF2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35C97BAB">
            <w:pPr>
              <w:widowControl/>
              <w:adjustRightInd w:val="0"/>
              <w:snapToGrid w:val="0"/>
              <w:rPr>
                <w:rFonts w:ascii="Times New Roman" w:hAnsi="Times New Roman"/>
                <w:color w:val="auto"/>
                <w:szCs w:val="21"/>
                <w:highlight w:val="none"/>
              </w:rPr>
            </w:pPr>
          </w:p>
        </w:tc>
        <w:tc>
          <w:tcPr>
            <w:tcW w:w="409" w:type="dxa"/>
            <w:vMerge w:val="continue"/>
            <w:tcBorders>
              <w:left w:val="single" w:color="auto" w:sz="4" w:space="0"/>
              <w:right w:val="single" w:color="auto" w:sz="4" w:space="0"/>
            </w:tcBorders>
            <w:vAlign w:val="center"/>
          </w:tcPr>
          <w:p w14:paraId="0B0BCDE8">
            <w:pPr>
              <w:tabs>
                <w:tab w:val="left" w:pos="700"/>
              </w:tabs>
              <w:adjustRightInd w:val="0"/>
              <w:snapToGrid w:val="0"/>
              <w:jc w:val="center"/>
              <w:rPr>
                <w:rFonts w:ascii="Times New Roman" w:hAnsi="Times New Roman"/>
                <w:color w:val="auto"/>
                <w:szCs w:val="21"/>
                <w:highlight w:val="none"/>
              </w:rPr>
            </w:pPr>
          </w:p>
        </w:tc>
        <w:tc>
          <w:tcPr>
            <w:tcW w:w="1500" w:type="dxa"/>
            <w:tcBorders>
              <w:top w:val="single" w:color="auto" w:sz="6" w:space="0"/>
              <w:left w:val="single" w:color="auto" w:sz="4" w:space="0"/>
              <w:bottom w:val="single" w:color="auto" w:sz="6" w:space="0"/>
              <w:right w:val="single" w:color="auto" w:sz="6" w:space="0"/>
            </w:tcBorders>
            <w:vAlign w:val="center"/>
          </w:tcPr>
          <w:p w14:paraId="35204D93">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联系人</w:t>
            </w:r>
          </w:p>
        </w:tc>
        <w:tc>
          <w:tcPr>
            <w:tcW w:w="5779" w:type="dxa"/>
            <w:tcBorders>
              <w:top w:val="single" w:color="auto" w:sz="6" w:space="0"/>
              <w:left w:val="single" w:color="auto" w:sz="6" w:space="0"/>
              <w:bottom w:val="single" w:color="auto" w:sz="6" w:space="0"/>
              <w:right w:val="single" w:color="auto" w:sz="4" w:space="0"/>
            </w:tcBorders>
            <w:vAlign w:val="center"/>
          </w:tcPr>
          <w:p w14:paraId="582AEE0E">
            <w:pPr>
              <w:tabs>
                <w:tab w:val="left" w:pos="700"/>
              </w:tabs>
              <w:adjustRightInd w:val="0"/>
              <w:snapToGrid w:val="0"/>
              <w:rPr>
                <w:rFonts w:ascii="Times New Roman" w:hAnsi="Times New Roman"/>
                <w:color w:val="auto"/>
                <w:szCs w:val="21"/>
                <w:highlight w:val="none"/>
              </w:rPr>
            </w:pPr>
          </w:p>
        </w:tc>
      </w:tr>
      <w:tr w14:paraId="14DB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01DE99A9">
            <w:pPr>
              <w:widowControl/>
              <w:adjustRightInd w:val="0"/>
              <w:snapToGrid w:val="0"/>
              <w:rPr>
                <w:rFonts w:ascii="Times New Roman" w:hAnsi="Times New Roman"/>
                <w:color w:val="auto"/>
                <w:szCs w:val="21"/>
                <w:highlight w:val="none"/>
              </w:rPr>
            </w:pPr>
          </w:p>
        </w:tc>
        <w:tc>
          <w:tcPr>
            <w:tcW w:w="409" w:type="dxa"/>
            <w:vMerge w:val="continue"/>
            <w:tcBorders>
              <w:left w:val="single" w:color="auto" w:sz="4" w:space="0"/>
              <w:right w:val="single" w:color="auto" w:sz="4" w:space="0"/>
            </w:tcBorders>
            <w:vAlign w:val="center"/>
          </w:tcPr>
          <w:p w14:paraId="5066A3A3">
            <w:pPr>
              <w:tabs>
                <w:tab w:val="left" w:pos="700"/>
              </w:tabs>
              <w:adjustRightInd w:val="0"/>
              <w:snapToGrid w:val="0"/>
              <w:jc w:val="center"/>
              <w:rPr>
                <w:rFonts w:ascii="Times New Roman" w:hAnsi="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14:paraId="14E4076F">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14:paraId="4CDA60DB">
            <w:pPr>
              <w:tabs>
                <w:tab w:val="left" w:pos="700"/>
              </w:tabs>
              <w:adjustRightInd w:val="0"/>
              <w:snapToGrid w:val="0"/>
              <w:rPr>
                <w:rFonts w:ascii="Times New Roman" w:hAnsi="Times New Roman"/>
                <w:color w:val="auto"/>
                <w:szCs w:val="21"/>
                <w:highlight w:val="none"/>
              </w:rPr>
            </w:pPr>
          </w:p>
        </w:tc>
      </w:tr>
      <w:tr w14:paraId="764C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009CC017">
            <w:pPr>
              <w:widowControl/>
              <w:adjustRightInd w:val="0"/>
              <w:snapToGrid w:val="0"/>
              <w:rPr>
                <w:rFonts w:ascii="Times New Roman" w:hAnsi="Times New Roman"/>
                <w:color w:val="auto"/>
                <w:szCs w:val="21"/>
                <w:highlight w:val="none"/>
              </w:rPr>
            </w:pPr>
          </w:p>
        </w:tc>
        <w:tc>
          <w:tcPr>
            <w:tcW w:w="409" w:type="dxa"/>
            <w:vMerge w:val="continue"/>
            <w:tcBorders>
              <w:left w:val="single" w:color="auto" w:sz="4" w:space="0"/>
              <w:right w:val="single" w:color="auto" w:sz="4" w:space="0"/>
            </w:tcBorders>
            <w:vAlign w:val="center"/>
          </w:tcPr>
          <w:p w14:paraId="187694E5">
            <w:pPr>
              <w:tabs>
                <w:tab w:val="left" w:pos="700"/>
              </w:tabs>
              <w:adjustRightInd w:val="0"/>
              <w:snapToGrid w:val="0"/>
              <w:jc w:val="center"/>
              <w:rPr>
                <w:rFonts w:ascii="Times New Roman" w:hAnsi="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14:paraId="069DF2EB">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14:paraId="334C86BF">
            <w:pPr>
              <w:tabs>
                <w:tab w:val="left" w:pos="700"/>
              </w:tabs>
              <w:adjustRightInd w:val="0"/>
              <w:snapToGrid w:val="0"/>
              <w:rPr>
                <w:rFonts w:ascii="Times New Roman" w:hAnsi="Times New Roman"/>
                <w:color w:val="auto"/>
                <w:szCs w:val="21"/>
                <w:highlight w:val="none"/>
              </w:rPr>
            </w:pPr>
          </w:p>
        </w:tc>
      </w:tr>
      <w:tr w14:paraId="1FAD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55756A3A">
            <w:pPr>
              <w:widowControl/>
              <w:adjustRightInd w:val="0"/>
              <w:snapToGrid w:val="0"/>
              <w:rPr>
                <w:rFonts w:ascii="Times New Roman" w:hAnsi="Times New Roman"/>
                <w:color w:val="auto"/>
                <w:szCs w:val="21"/>
                <w:highlight w:val="none"/>
              </w:rPr>
            </w:pPr>
          </w:p>
        </w:tc>
        <w:tc>
          <w:tcPr>
            <w:tcW w:w="409" w:type="dxa"/>
            <w:vMerge w:val="continue"/>
            <w:tcBorders>
              <w:left w:val="single" w:color="auto" w:sz="4" w:space="0"/>
              <w:right w:val="single" w:color="auto" w:sz="4" w:space="0"/>
            </w:tcBorders>
            <w:vAlign w:val="center"/>
          </w:tcPr>
          <w:p w14:paraId="404DD21A">
            <w:pPr>
              <w:tabs>
                <w:tab w:val="left" w:pos="700"/>
              </w:tabs>
              <w:adjustRightInd w:val="0"/>
              <w:snapToGrid w:val="0"/>
              <w:jc w:val="center"/>
              <w:rPr>
                <w:rFonts w:ascii="Times New Roman" w:hAnsi="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14:paraId="4747B74F">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联系人</w:t>
            </w:r>
          </w:p>
        </w:tc>
        <w:tc>
          <w:tcPr>
            <w:tcW w:w="5779" w:type="dxa"/>
            <w:tcBorders>
              <w:top w:val="single" w:color="auto" w:sz="6" w:space="0"/>
              <w:left w:val="single" w:color="auto" w:sz="6" w:space="0"/>
              <w:bottom w:val="single" w:color="auto" w:sz="4" w:space="0"/>
              <w:right w:val="single" w:color="auto" w:sz="4" w:space="0"/>
            </w:tcBorders>
            <w:vAlign w:val="center"/>
          </w:tcPr>
          <w:p w14:paraId="17E434AE">
            <w:pPr>
              <w:tabs>
                <w:tab w:val="left" w:pos="700"/>
              </w:tabs>
              <w:adjustRightInd w:val="0"/>
              <w:snapToGrid w:val="0"/>
              <w:rPr>
                <w:rFonts w:ascii="Times New Roman" w:hAnsi="Times New Roman"/>
                <w:color w:val="auto"/>
                <w:szCs w:val="21"/>
                <w:highlight w:val="none"/>
              </w:rPr>
            </w:pPr>
          </w:p>
        </w:tc>
      </w:tr>
      <w:tr w14:paraId="44F2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14:paraId="1536324D">
            <w:pPr>
              <w:widowControl/>
              <w:adjustRightInd w:val="0"/>
              <w:snapToGrid w:val="0"/>
              <w:rPr>
                <w:rFonts w:ascii="Times New Roman" w:hAnsi="Times New Roman"/>
                <w:color w:val="auto"/>
                <w:szCs w:val="21"/>
                <w:highlight w:val="none"/>
              </w:rPr>
            </w:pPr>
          </w:p>
        </w:tc>
        <w:tc>
          <w:tcPr>
            <w:tcW w:w="409" w:type="dxa"/>
            <w:vMerge w:val="continue"/>
            <w:tcBorders>
              <w:left w:val="single" w:color="auto" w:sz="4" w:space="0"/>
              <w:bottom w:val="single" w:color="auto" w:sz="4" w:space="0"/>
              <w:right w:val="single" w:color="auto" w:sz="4" w:space="0"/>
            </w:tcBorders>
            <w:vAlign w:val="center"/>
          </w:tcPr>
          <w:p w14:paraId="67EA8C74">
            <w:pPr>
              <w:tabs>
                <w:tab w:val="left" w:pos="700"/>
              </w:tabs>
              <w:adjustRightInd w:val="0"/>
              <w:snapToGrid w:val="0"/>
              <w:jc w:val="center"/>
              <w:rPr>
                <w:rFonts w:ascii="Times New Roman" w:hAnsi="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14:paraId="4C6B4163">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14:paraId="6154AA57">
            <w:pPr>
              <w:tabs>
                <w:tab w:val="left" w:pos="700"/>
              </w:tabs>
              <w:adjustRightInd w:val="0"/>
              <w:snapToGrid w:val="0"/>
              <w:rPr>
                <w:rFonts w:ascii="Times New Roman" w:hAnsi="Times New Roman"/>
                <w:color w:val="auto"/>
                <w:szCs w:val="21"/>
                <w:highlight w:val="none"/>
              </w:rPr>
            </w:pPr>
          </w:p>
        </w:tc>
      </w:tr>
      <w:tr w14:paraId="7635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14:paraId="0211B56A">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00246A14">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14:paraId="4D6AA73C">
            <w:pPr>
              <w:tabs>
                <w:tab w:val="left" w:pos="700"/>
              </w:tabs>
              <w:adjustRightInd w:val="0"/>
              <w:snapToGrid w:val="0"/>
              <w:rPr>
                <w:rFonts w:ascii="Times New Roman" w:hAnsi="Times New Roman"/>
                <w:color w:val="auto"/>
                <w:szCs w:val="21"/>
                <w:highlight w:val="none"/>
              </w:rPr>
            </w:pPr>
          </w:p>
        </w:tc>
      </w:tr>
      <w:tr w14:paraId="25A9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BFAF7C5">
            <w:pPr>
              <w:widowControl/>
              <w:adjustRightInd w:val="0"/>
              <w:snapToGrid w:val="0"/>
              <w:rPr>
                <w:rFonts w:ascii="Times New Roman" w:hAnsi="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5E2AB87">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14:paraId="58368DCB">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中型企业     </w:t>
            </w: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小型企业            </w:t>
            </w: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微型企业    </w:t>
            </w:r>
          </w:p>
          <w:p w14:paraId="3BA3AF24">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监狱企业     </w:t>
            </w: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残疾人福利性单位    </w:t>
            </w:r>
            <w:r>
              <w:rPr>
                <w:rFonts w:ascii="Times New Roman" w:hAnsi="Times New Roman"/>
                <w:color w:val="auto"/>
                <w:szCs w:val="21"/>
                <w:highlight w:val="none"/>
              </w:rPr>
              <w:sym w:font="Wingdings 2" w:char="00A3"/>
            </w:r>
            <w:r>
              <w:rPr>
                <w:rFonts w:ascii="Times New Roman" w:hAnsi="Times New Roman"/>
                <w:color w:val="auto"/>
                <w:szCs w:val="21"/>
                <w:highlight w:val="none"/>
              </w:rPr>
              <w:t xml:space="preserve"> 其他</w:t>
            </w:r>
          </w:p>
        </w:tc>
      </w:tr>
      <w:tr w14:paraId="6F12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005CA02B">
            <w:pPr>
              <w:widowControl/>
              <w:adjustRightInd w:val="0"/>
              <w:snapToGrid w:val="0"/>
              <w:rPr>
                <w:rFonts w:ascii="Times New Roman" w:hAnsi="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6471FDD">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14:paraId="0825E9FB">
            <w:pPr>
              <w:tabs>
                <w:tab w:val="left" w:pos="700"/>
              </w:tabs>
              <w:adjustRightInd w:val="0"/>
              <w:snapToGrid w:val="0"/>
              <w:rPr>
                <w:rFonts w:ascii="Times New Roman" w:hAnsi="Times New Roman"/>
                <w:color w:val="auto"/>
                <w:szCs w:val="21"/>
                <w:highlight w:val="none"/>
              </w:rPr>
            </w:pPr>
          </w:p>
        </w:tc>
      </w:tr>
      <w:tr w14:paraId="2CB1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198919AE">
            <w:pPr>
              <w:widowControl/>
              <w:adjustRightInd w:val="0"/>
              <w:snapToGrid w:val="0"/>
              <w:rPr>
                <w:rFonts w:ascii="Times New Roman" w:hAnsi="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BB4DF9B">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14:paraId="06358DAC">
            <w:pPr>
              <w:tabs>
                <w:tab w:val="left" w:pos="700"/>
              </w:tabs>
              <w:adjustRightInd w:val="0"/>
              <w:snapToGrid w:val="0"/>
              <w:rPr>
                <w:rFonts w:ascii="Times New Roman" w:hAnsi="Times New Roman"/>
                <w:color w:val="auto"/>
                <w:szCs w:val="21"/>
                <w:highlight w:val="none"/>
              </w:rPr>
            </w:pPr>
          </w:p>
        </w:tc>
      </w:tr>
      <w:tr w14:paraId="00BA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7EDAC0E2">
            <w:pPr>
              <w:widowControl/>
              <w:adjustRightInd w:val="0"/>
              <w:snapToGrid w:val="0"/>
              <w:rPr>
                <w:rFonts w:ascii="Times New Roman" w:hAnsi="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514F10F">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14:paraId="5470EB80">
            <w:pPr>
              <w:tabs>
                <w:tab w:val="left" w:pos="700"/>
              </w:tabs>
              <w:adjustRightInd w:val="0"/>
              <w:snapToGrid w:val="0"/>
              <w:rPr>
                <w:rFonts w:ascii="Times New Roman" w:hAnsi="Times New Roman"/>
                <w:color w:val="auto"/>
                <w:szCs w:val="21"/>
                <w:highlight w:val="none"/>
              </w:rPr>
            </w:pPr>
          </w:p>
        </w:tc>
      </w:tr>
      <w:tr w14:paraId="139E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2B09EF85">
            <w:pPr>
              <w:widowControl/>
              <w:adjustRightInd w:val="0"/>
              <w:snapToGrid w:val="0"/>
              <w:rPr>
                <w:rFonts w:ascii="Times New Roman" w:hAnsi="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6D71DDE5">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传真</w:t>
            </w:r>
          </w:p>
        </w:tc>
        <w:tc>
          <w:tcPr>
            <w:tcW w:w="5779" w:type="dxa"/>
            <w:tcBorders>
              <w:top w:val="single" w:color="auto" w:sz="4" w:space="0"/>
              <w:left w:val="single" w:color="auto" w:sz="4" w:space="0"/>
              <w:bottom w:val="single" w:color="auto" w:sz="4" w:space="0"/>
              <w:right w:val="single" w:color="auto" w:sz="4" w:space="0"/>
            </w:tcBorders>
            <w:vAlign w:val="center"/>
          </w:tcPr>
          <w:p w14:paraId="56F3B0D7">
            <w:pPr>
              <w:tabs>
                <w:tab w:val="left" w:pos="700"/>
              </w:tabs>
              <w:adjustRightInd w:val="0"/>
              <w:snapToGrid w:val="0"/>
              <w:rPr>
                <w:rFonts w:ascii="Times New Roman" w:hAnsi="Times New Roman"/>
                <w:color w:val="auto"/>
                <w:szCs w:val="21"/>
                <w:highlight w:val="none"/>
              </w:rPr>
            </w:pPr>
          </w:p>
        </w:tc>
      </w:tr>
      <w:tr w14:paraId="6DF6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14:paraId="160447C7">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3348D5D">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14:paraId="1543FFA3">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人民币</w:t>
            </w:r>
            <w:r>
              <w:rPr>
                <w:rFonts w:ascii="Times New Roman" w:hAnsi="Times New Roman"/>
                <w:color w:val="auto"/>
                <w:szCs w:val="21"/>
                <w:highlight w:val="none"/>
                <w:u w:val="single"/>
              </w:rPr>
              <w:t xml:space="preserve">        </w:t>
            </w:r>
            <w:r>
              <w:rPr>
                <w:rFonts w:ascii="Times New Roman" w:hAnsi="Times New Roman"/>
                <w:color w:val="auto"/>
                <w:szCs w:val="21"/>
                <w:highlight w:val="none"/>
              </w:rPr>
              <w:t>元整（¥</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7E3C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14:paraId="659511EE">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283A11C1">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14:paraId="1164F249">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概述服务内容，详见招标文件采购需求。</w:t>
            </w:r>
          </w:p>
          <w:p w14:paraId="0FE1D559">
            <w:pPr>
              <w:tabs>
                <w:tab w:val="left" w:pos="700"/>
              </w:tabs>
              <w:adjustRightInd w:val="0"/>
              <w:snapToGrid w:val="0"/>
              <w:rPr>
                <w:rFonts w:ascii="Times New Roman" w:hAnsi="Times New Roman"/>
                <w:color w:val="auto"/>
                <w:szCs w:val="21"/>
                <w:highlight w:val="none"/>
              </w:rPr>
            </w:pPr>
          </w:p>
          <w:p w14:paraId="7907B921">
            <w:pPr>
              <w:tabs>
                <w:tab w:val="left" w:pos="700"/>
              </w:tabs>
              <w:adjustRightInd w:val="0"/>
              <w:snapToGrid w:val="0"/>
              <w:rPr>
                <w:rFonts w:ascii="Times New Roman" w:hAnsi="Times New Roman"/>
                <w:color w:val="auto"/>
                <w:szCs w:val="21"/>
                <w:highlight w:val="none"/>
              </w:rPr>
            </w:pPr>
          </w:p>
          <w:p w14:paraId="4150DA6D">
            <w:pPr>
              <w:tabs>
                <w:tab w:val="left" w:pos="700"/>
              </w:tabs>
              <w:adjustRightInd w:val="0"/>
              <w:snapToGrid w:val="0"/>
              <w:rPr>
                <w:rFonts w:ascii="Times New Roman" w:hAnsi="Times New Roman"/>
                <w:color w:val="auto"/>
                <w:szCs w:val="21"/>
                <w:highlight w:val="none"/>
              </w:rPr>
            </w:pPr>
          </w:p>
          <w:p w14:paraId="20432A52">
            <w:pPr>
              <w:tabs>
                <w:tab w:val="left" w:pos="700"/>
              </w:tabs>
              <w:adjustRightInd w:val="0"/>
              <w:snapToGrid w:val="0"/>
              <w:rPr>
                <w:rFonts w:ascii="Times New Roman" w:hAnsi="Times New Roman"/>
                <w:color w:val="auto"/>
                <w:szCs w:val="21"/>
                <w:highlight w:val="none"/>
              </w:rPr>
            </w:pPr>
          </w:p>
          <w:p w14:paraId="7A40FE80">
            <w:pPr>
              <w:tabs>
                <w:tab w:val="left" w:pos="700"/>
              </w:tabs>
              <w:adjustRightInd w:val="0"/>
              <w:snapToGrid w:val="0"/>
              <w:rPr>
                <w:rFonts w:ascii="Times New Roman" w:hAnsi="Times New Roman"/>
                <w:color w:val="auto"/>
                <w:szCs w:val="21"/>
                <w:highlight w:val="none"/>
              </w:rPr>
            </w:pPr>
          </w:p>
          <w:p w14:paraId="574E232B">
            <w:pPr>
              <w:tabs>
                <w:tab w:val="left" w:pos="700"/>
              </w:tabs>
              <w:adjustRightInd w:val="0"/>
              <w:snapToGrid w:val="0"/>
              <w:rPr>
                <w:rFonts w:ascii="Times New Roman" w:hAnsi="Times New Roman"/>
                <w:color w:val="auto"/>
                <w:szCs w:val="21"/>
                <w:highlight w:val="none"/>
              </w:rPr>
            </w:pPr>
          </w:p>
          <w:p w14:paraId="07EFA80C">
            <w:pPr>
              <w:tabs>
                <w:tab w:val="left" w:pos="700"/>
              </w:tabs>
              <w:adjustRightInd w:val="0"/>
              <w:snapToGrid w:val="0"/>
              <w:rPr>
                <w:rFonts w:ascii="Times New Roman" w:hAnsi="Times New Roman"/>
                <w:color w:val="auto"/>
                <w:szCs w:val="21"/>
                <w:highlight w:val="none"/>
              </w:rPr>
            </w:pPr>
          </w:p>
          <w:p w14:paraId="200F1AF0">
            <w:pPr>
              <w:tabs>
                <w:tab w:val="left" w:pos="700"/>
              </w:tabs>
              <w:adjustRightInd w:val="0"/>
              <w:snapToGrid w:val="0"/>
              <w:rPr>
                <w:rFonts w:ascii="Times New Roman" w:hAnsi="Times New Roman"/>
                <w:color w:val="auto"/>
                <w:szCs w:val="21"/>
                <w:highlight w:val="none"/>
              </w:rPr>
            </w:pPr>
          </w:p>
        </w:tc>
      </w:tr>
      <w:tr w14:paraId="23C9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14:paraId="06EF2BEB">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05E2CD8">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14:paraId="7D7BFE05">
            <w:pPr>
              <w:pStyle w:val="26"/>
              <w:tabs>
                <w:tab w:val="left" w:pos="840"/>
              </w:tabs>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合同以人民币结算，付款方式：</w:t>
            </w:r>
          </w:p>
          <w:p w14:paraId="4B3EF7D3">
            <w:pPr>
              <w:pStyle w:val="26"/>
              <w:tabs>
                <w:tab w:val="left" w:pos="840"/>
              </w:tabs>
              <w:adjustRightInd w:val="0"/>
              <w:snapToGrid w:val="0"/>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第一次付款：在</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后，甲方支付乙方合同金额</w:t>
            </w:r>
            <w:r>
              <w:rPr>
                <w:rFonts w:ascii="Times New Roman" w:hAnsi="Times New Roman"/>
                <w:color w:val="auto"/>
                <w:sz w:val="21"/>
                <w:szCs w:val="21"/>
                <w:highlight w:val="none"/>
                <w:u w:val="single"/>
                <w:lang w:val="en"/>
              </w:rPr>
              <w:t xml:space="preserve">  </w:t>
            </w:r>
            <w:r>
              <w:rPr>
                <w:rFonts w:ascii="Times New Roman" w:hAnsi="Times New Roman"/>
                <w:color w:val="auto"/>
                <w:sz w:val="21"/>
                <w:szCs w:val="21"/>
                <w:highlight w:val="none"/>
              </w:rPr>
              <w:t>%的款项，即人民币</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元整（¥</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p>
          <w:p w14:paraId="6CB996C7">
            <w:pPr>
              <w:pStyle w:val="26"/>
              <w:tabs>
                <w:tab w:val="left" w:pos="840"/>
              </w:tabs>
              <w:adjustRightInd w:val="0"/>
              <w:snapToGrid w:val="0"/>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第二次付款：在</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后，甲方支付乙方合同金额</w:t>
            </w:r>
            <w:r>
              <w:rPr>
                <w:rFonts w:ascii="Times New Roman" w:hAnsi="Times New Roman"/>
                <w:color w:val="auto"/>
                <w:sz w:val="21"/>
                <w:szCs w:val="21"/>
                <w:highlight w:val="none"/>
                <w:u w:val="single"/>
                <w:lang w:val="en"/>
              </w:rPr>
              <w:t xml:space="preserve">  </w:t>
            </w:r>
            <w:r>
              <w:rPr>
                <w:rFonts w:ascii="Times New Roman" w:hAnsi="Times New Roman"/>
                <w:color w:val="auto"/>
                <w:sz w:val="21"/>
                <w:szCs w:val="21"/>
                <w:highlight w:val="none"/>
              </w:rPr>
              <w:t>%的款项，即人民币</w:t>
            </w:r>
            <w:r>
              <w:rPr>
                <w:rFonts w:ascii="Times New Roman" w:hAnsi="Times New Roman"/>
                <w:color w:val="auto"/>
                <w:sz w:val="21"/>
                <w:szCs w:val="21"/>
                <w:highlight w:val="none"/>
                <w:u w:val="single"/>
                <w:lang w:val="en"/>
              </w:rPr>
              <w:t xml:space="preserve">        </w:t>
            </w:r>
            <w:r>
              <w:rPr>
                <w:rFonts w:ascii="Times New Roman" w:hAnsi="Times New Roman"/>
                <w:color w:val="auto"/>
                <w:sz w:val="21"/>
                <w:szCs w:val="21"/>
                <w:highlight w:val="none"/>
              </w:rPr>
              <w:t>元整（¥</w:t>
            </w:r>
            <w:r>
              <w:rPr>
                <w:rFonts w:ascii="Times New Roman" w:hAnsi="Times New Roman"/>
                <w:color w:val="auto"/>
                <w:sz w:val="21"/>
                <w:szCs w:val="21"/>
                <w:highlight w:val="none"/>
                <w:u w:val="single"/>
                <w:lang w:val="en"/>
              </w:rPr>
              <w:t xml:space="preserve">        </w:t>
            </w:r>
            <w:r>
              <w:rPr>
                <w:rFonts w:ascii="Times New Roman" w:hAnsi="Times New Roman"/>
                <w:color w:val="auto"/>
                <w:sz w:val="21"/>
                <w:szCs w:val="21"/>
                <w:highlight w:val="none"/>
              </w:rPr>
              <w:t>）；</w:t>
            </w:r>
          </w:p>
          <w:p w14:paraId="6C48D399">
            <w:pPr>
              <w:pStyle w:val="26"/>
              <w:tabs>
                <w:tab w:val="left" w:pos="840"/>
              </w:tabs>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lang w:val="en"/>
              </w:rPr>
              <w:t>......</w:t>
            </w:r>
          </w:p>
          <w:p w14:paraId="04859425">
            <w:pPr>
              <w:pStyle w:val="26"/>
              <w:tabs>
                <w:tab w:val="left" w:pos="840"/>
              </w:tabs>
              <w:adjustRightInd w:val="0"/>
              <w:snapToGrid w:val="0"/>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每次办理付款时，乙方应提供发票、付款申请（格式另附）、合同约定的其他资料。涉及验收的，应同时提交甲方需求部门出具的验收意见。</w:t>
            </w:r>
          </w:p>
          <w:p w14:paraId="49A0D5CA">
            <w:pPr>
              <w:pStyle w:val="26"/>
              <w:tabs>
                <w:tab w:val="left" w:pos="840"/>
              </w:tabs>
              <w:adjustRightInd w:val="0"/>
              <w:snapToGrid w:val="0"/>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甲方在收到发票等合同约定资料</w:t>
            </w:r>
            <w:r>
              <w:rPr>
                <w:rFonts w:hint="eastAsia" w:ascii="Times New Roman" w:hAnsi="Times New Roman"/>
                <w:color w:val="auto"/>
                <w:sz w:val="21"/>
                <w:szCs w:val="21"/>
                <w:highlight w:val="none"/>
              </w:rPr>
              <w:t>并审核合格后付款</w:t>
            </w:r>
            <w:r>
              <w:rPr>
                <w:rFonts w:ascii="Times New Roman" w:hAnsi="Times New Roman"/>
                <w:color w:val="auto"/>
                <w:sz w:val="21"/>
                <w:szCs w:val="21"/>
                <w:highlight w:val="none"/>
              </w:rPr>
              <w:t>。</w:t>
            </w:r>
          </w:p>
        </w:tc>
      </w:tr>
      <w:tr w14:paraId="0546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14:paraId="4395D5F8">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C42538C">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14:paraId="41F850D3">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□本项目不要求提供履约保证金。</w:t>
            </w:r>
          </w:p>
          <w:p w14:paraId="5CD1AD71">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□本项目要求提供履约保证金。履约保证金为合同总金额的</w:t>
            </w:r>
            <w:r>
              <w:rPr>
                <w:rFonts w:ascii="Times New Roman" w:hAnsi="Times New Roman"/>
                <w:color w:val="auto"/>
                <w:szCs w:val="21"/>
                <w:highlight w:val="none"/>
                <w:u w:val="single"/>
              </w:rPr>
              <w:t xml:space="preserve">   </w:t>
            </w:r>
            <w:r>
              <w:rPr>
                <w:rFonts w:ascii="Times New Roman" w:hAnsi="Times New Roman"/>
                <w:color w:val="auto"/>
                <w:szCs w:val="21"/>
                <w:highlight w:val="none"/>
              </w:rPr>
              <w:t>%，即人民币</w:t>
            </w:r>
            <w:r>
              <w:rPr>
                <w:rFonts w:ascii="Times New Roman" w:hAnsi="Times New Roman"/>
                <w:color w:val="auto"/>
                <w:szCs w:val="21"/>
                <w:highlight w:val="none"/>
                <w:u w:val="single"/>
                <w:lang w:val="e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lang w:val="en"/>
              </w:rPr>
              <w:t xml:space="preserve"> </w:t>
            </w:r>
            <w:r>
              <w:rPr>
                <w:rFonts w:ascii="Times New Roman" w:hAnsi="Times New Roman"/>
                <w:color w:val="auto"/>
                <w:szCs w:val="21"/>
                <w:highlight w:val="none"/>
                <w:lang w:val="en"/>
              </w:rPr>
              <w:t>元</w:t>
            </w:r>
            <w:r>
              <w:rPr>
                <w:rFonts w:ascii="Times New Roman" w:hAnsi="Times New Roman"/>
                <w:color w:val="auto"/>
                <w:szCs w:val="21"/>
                <w:highlight w:val="none"/>
              </w:rPr>
              <w:t>整（¥</w:t>
            </w:r>
            <w:r>
              <w:rPr>
                <w:rFonts w:ascii="Times New Roman" w:hAnsi="Times New Roman"/>
                <w:color w:val="auto"/>
                <w:szCs w:val="21"/>
                <w:highlight w:val="none"/>
                <w:u w:val="single"/>
                <w:lang w:val="e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lang w:val="en"/>
              </w:rPr>
              <w:t xml:space="preserve"> </w:t>
            </w:r>
            <w:r>
              <w:rPr>
                <w:rFonts w:ascii="Times New Roman" w:hAnsi="Times New Roman"/>
                <w:color w:val="auto"/>
                <w:szCs w:val="21"/>
                <w:highlight w:val="none"/>
              </w:rPr>
              <w:t>），乙方应在合同签订之日起 30 日内提交甲方。提交方式为银行电汇、金融机构或担保机构出具的保函。在合同履行期满，扣除应扣除的款项（如有）且双方无争议后，无息返还。</w:t>
            </w:r>
          </w:p>
          <w:p w14:paraId="0414766B">
            <w:pPr>
              <w:tabs>
                <w:tab w:val="left" w:pos="700"/>
              </w:tabs>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14:paraId="1AB4DB3B">
            <w:pPr>
              <w:tabs>
                <w:tab w:val="left" w:pos="700"/>
              </w:tabs>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满足履约保证金返还条件的，甲方在收到返还相关信息等合同约定资料后，进行核实。对核实结果无异议的，自完成核实之日起30日内，以</w:t>
            </w:r>
            <w:r>
              <w:rPr>
                <w:rFonts w:ascii="Times New Roman" w:hAnsi="Times New Roman"/>
                <w:color w:val="auto"/>
                <w:szCs w:val="21"/>
                <w:highlight w:val="none"/>
                <w:u w:val="single"/>
              </w:rPr>
              <w:t xml:space="preserve">      </w:t>
            </w:r>
            <w:r>
              <w:rPr>
                <w:rFonts w:ascii="Times New Roman" w:hAnsi="Times New Roman"/>
                <w:color w:val="auto"/>
                <w:szCs w:val="21"/>
                <w:highlight w:val="none"/>
              </w:rPr>
              <w:t>方式返还履约保证金或退回保函。</w:t>
            </w:r>
          </w:p>
        </w:tc>
      </w:tr>
      <w:tr w14:paraId="12FB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14:paraId="3910FA58">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B01FD5C">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14:paraId="7BC8F20A">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自合同签订之日起至合同全部权利义务履行完毕之日止</w:t>
            </w:r>
          </w:p>
        </w:tc>
      </w:tr>
      <w:tr w14:paraId="55A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14:paraId="62C7F69E">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C28DF1E">
            <w:pPr>
              <w:tabs>
                <w:tab w:val="left" w:pos="700"/>
              </w:tabs>
              <w:adjustRightInd w:val="0"/>
              <w:snapToGrid w:val="0"/>
              <w:jc w:val="center"/>
              <w:rPr>
                <w:rFonts w:ascii="Times New Roman" w:hAnsi="Times New Roman"/>
                <w:color w:val="auto"/>
                <w:szCs w:val="21"/>
                <w:highlight w:val="none"/>
                <w:lang w:val="en"/>
              </w:rPr>
            </w:pPr>
            <w:r>
              <w:rPr>
                <w:rFonts w:ascii="Times New Roman" w:hAnsi="Times New Roman"/>
                <w:color w:val="auto"/>
                <w:szCs w:val="21"/>
                <w:highlight w:val="none"/>
              </w:rPr>
              <w:t>服务期</w:t>
            </w:r>
          </w:p>
        </w:tc>
        <w:tc>
          <w:tcPr>
            <w:tcW w:w="5779" w:type="dxa"/>
            <w:tcBorders>
              <w:top w:val="single" w:color="auto" w:sz="4" w:space="0"/>
              <w:left w:val="single" w:color="auto" w:sz="4" w:space="0"/>
              <w:bottom w:val="single" w:color="auto" w:sz="4" w:space="0"/>
              <w:right w:val="single" w:color="auto" w:sz="4" w:space="0"/>
            </w:tcBorders>
            <w:vAlign w:val="center"/>
          </w:tcPr>
          <w:p w14:paraId="75B6F988">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日至</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tc>
      </w:tr>
      <w:tr w14:paraId="71D1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550FD8DE">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84094EE">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14:paraId="17C3A041">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合同约定地点或甲方指定地点</w:t>
            </w:r>
          </w:p>
        </w:tc>
      </w:tr>
      <w:tr w14:paraId="05CB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3692EF2F">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2568563">
            <w:pPr>
              <w:tabs>
                <w:tab w:val="left" w:pos="700"/>
              </w:tabs>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14:paraId="370A0990">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甲乙双方应首先通过友好协商解决在执行本合同中所发生的或与本合同有关的一切争端。如从协商开始</w:t>
            </w:r>
            <w:r>
              <w:rPr>
                <w:rFonts w:ascii="Times New Roman" w:hAnsi="Times New Roman"/>
                <w:color w:val="auto"/>
                <w:szCs w:val="21"/>
                <w:highlight w:val="none"/>
                <w:u w:val="single"/>
              </w:rPr>
              <w:t xml:space="preserve">   </w:t>
            </w:r>
            <w:r>
              <w:rPr>
                <w:rFonts w:ascii="Times New Roman" w:hAnsi="Times New Roman"/>
                <w:color w:val="auto"/>
                <w:szCs w:val="21"/>
                <w:highlight w:val="none"/>
              </w:rPr>
              <w:t>天内仍不能解决，可以选择以下途径之一解决纠纷：</w:t>
            </w:r>
          </w:p>
          <w:p w14:paraId="5DDFBFE4">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□向甲方所在地仲裁委员会或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14:paraId="75813B7E">
            <w:pPr>
              <w:tabs>
                <w:tab w:val="left" w:pos="700"/>
              </w:tabs>
              <w:adjustRightInd w:val="0"/>
              <w:snapToGrid w:val="0"/>
              <w:rPr>
                <w:rFonts w:ascii="Times New Roman" w:hAnsi="Times New Roman"/>
                <w:color w:val="auto"/>
                <w:szCs w:val="21"/>
                <w:highlight w:val="none"/>
              </w:rPr>
            </w:pPr>
            <w:r>
              <w:rPr>
                <w:rFonts w:ascii="Times New Roman" w:hAnsi="Times New Roman"/>
                <w:color w:val="auto"/>
                <w:szCs w:val="21"/>
                <w:highlight w:val="none"/>
              </w:rPr>
              <w:t>□向甲方所在地人民法院或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人民法院提起诉讼</w:t>
            </w:r>
          </w:p>
        </w:tc>
      </w:tr>
    </w:tbl>
    <w:p w14:paraId="4A756027">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651DD0A7">
      <w:pPr>
        <w:tabs>
          <w:tab w:val="left" w:pos="0"/>
        </w:tabs>
        <w:topLinePunct/>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706B53F8">
      <w:pPr>
        <w:tabs>
          <w:tab w:val="left" w:pos="540"/>
        </w:tabs>
        <w:topLinePunct/>
        <w:autoSpaceDE w:val="0"/>
        <w:autoSpaceDN w:val="0"/>
        <w:spacing w:line="460" w:lineRule="exact"/>
        <w:rPr>
          <w:rFonts w:hint="eastAsia" w:ascii="宋体" w:hAnsi="宋体" w:cs="宋体"/>
          <w:b/>
          <w:color w:val="auto"/>
          <w:sz w:val="24"/>
          <w:highlight w:val="none"/>
        </w:rPr>
      </w:pPr>
    </w:p>
    <w:p w14:paraId="3C1DBF1C">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国家税务总局XX税务局（以下简称“甲方”）通过</w:t>
      </w:r>
      <w:r>
        <w:rPr>
          <w:rFonts w:ascii="Times New Roman" w:hAnsi="Times New Roman"/>
          <w:color w:val="auto"/>
          <w:szCs w:val="21"/>
          <w:highlight w:val="none"/>
          <w:u w:val="single"/>
        </w:rPr>
        <w:t xml:space="preserve">          </w:t>
      </w:r>
      <w:r>
        <w:rPr>
          <w:rFonts w:ascii="Times New Roman" w:hAnsi="Times New Roman"/>
          <w:color w:val="auto"/>
          <w:szCs w:val="21"/>
          <w:highlight w:val="none"/>
        </w:rPr>
        <w:t>式采购，确定_ _____公司（以下简称“乙方”）为《</w:t>
      </w:r>
      <w:r>
        <w:rPr>
          <w:rFonts w:ascii="Times New Roman" w:hAnsi="Times New Roman"/>
          <w:color w:val="auto"/>
          <w:szCs w:val="21"/>
          <w:highlight w:val="none"/>
          <w:u w:val="single"/>
        </w:rPr>
        <w:t xml:space="preserve">        </w:t>
      </w:r>
      <w:r>
        <w:rPr>
          <w:rFonts w:ascii="Times New Roman" w:hAnsi="Times New Roman"/>
          <w:color w:val="auto"/>
          <w:szCs w:val="21"/>
          <w:highlight w:val="none"/>
        </w:rPr>
        <w:t>项目》中标（成交）供应商。甲乙双方同意按照该项目招标（采购）文件约定的内容，签署《</w:t>
      </w:r>
      <w:r>
        <w:rPr>
          <w:rFonts w:ascii="Times New Roman" w:hAnsi="Times New Roman"/>
          <w:color w:val="auto"/>
          <w:szCs w:val="21"/>
          <w:highlight w:val="none"/>
          <w:u w:val="single"/>
        </w:rPr>
        <w:t xml:space="preserve">        </w:t>
      </w:r>
      <w:r>
        <w:rPr>
          <w:rFonts w:ascii="Times New Roman" w:hAnsi="Times New Roman"/>
          <w:color w:val="auto"/>
          <w:szCs w:val="21"/>
          <w:highlight w:val="none"/>
        </w:rPr>
        <w:t>合同书》（合同编号：</w:t>
      </w:r>
      <w:r>
        <w:rPr>
          <w:rFonts w:ascii="Times New Roman" w:hAnsi="Times New Roman"/>
          <w:color w:val="auto"/>
          <w:szCs w:val="21"/>
          <w:highlight w:val="none"/>
          <w:u w:val="single"/>
        </w:rPr>
        <w:t xml:space="preserve">      </w:t>
      </w:r>
      <w:r>
        <w:rPr>
          <w:rFonts w:ascii="Times New Roman" w:hAnsi="Times New Roman"/>
          <w:color w:val="auto"/>
          <w:szCs w:val="21"/>
          <w:highlight w:val="none"/>
        </w:rPr>
        <w:t>，以下简称“合同”)。</w:t>
      </w:r>
    </w:p>
    <w:p w14:paraId="0FD8FFEE">
      <w:pPr>
        <w:topLinePunct/>
        <w:autoSpaceDE w:val="0"/>
        <w:autoSpaceDN w:val="0"/>
        <w:snapToGrid w:val="0"/>
        <w:spacing w:line="360" w:lineRule="auto"/>
        <w:ind w:left="482"/>
        <w:rPr>
          <w:rFonts w:ascii="Times New Roman" w:hAnsi="Times New Roman"/>
          <w:b/>
          <w:color w:val="auto"/>
          <w:szCs w:val="21"/>
          <w:highlight w:val="none"/>
        </w:rPr>
      </w:pPr>
      <w:r>
        <w:rPr>
          <w:rFonts w:ascii="Times New Roman" w:hAnsi="Times New Roman"/>
          <w:b/>
          <w:color w:val="auto"/>
          <w:szCs w:val="21"/>
          <w:highlight w:val="none"/>
        </w:rPr>
        <w:t>1. 合同文件</w:t>
      </w:r>
    </w:p>
    <w:p w14:paraId="3F1255BF">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本合同所附下列文件是构成本合同不可分割的部分：</w:t>
      </w:r>
    </w:p>
    <w:p w14:paraId="17318E5F">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（1）合同通用条款；</w:t>
      </w:r>
    </w:p>
    <w:p w14:paraId="7F006EC0">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（2）报价表（总报价表和分项报价表）；</w:t>
      </w:r>
    </w:p>
    <w:p w14:paraId="1B79892E">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（3）招标（采购）文件；</w:t>
      </w:r>
    </w:p>
    <w:p w14:paraId="1F51ED65">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（4）投标（响应）文件。</w:t>
      </w:r>
    </w:p>
    <w:p w14:paraId="09059A61">
      <w:pPr>
        <w:topLinePunct/>
        <w:autoSpaceDE w:val="0"/>
        <w:autoSpaceDN w:val="0"/>
        <w:snapToGrid w:val="0"/>
        <w:spacing w:line="360" w:lineRule="auto"/>
        <w:ind w:left="482"/>
        <w:rPr>
          <w:rFonts w:ascii="Times New Roman" w:hAnsi="Times New Roman"/>
          <w:b/>
          <w:color w:val="auto"/>
          <w:szCs w:val="21"/>
          <w:highlight w:val="none"/>
        </w:rPr>
      </w:pPr>
      <w:r>
        <w:rPr>
          <w:rFonts w:ascii="Times New Roman" w:hAnsi="Times New Roman"/>
          <w:b/>
          <w:color w:val="auto"/>
          <w:szCs w:val="21"/>
          <w:highlight w:val="none"/>
        </w:rPr>
        <w:t>2. 合同范围和条件</w:t>
      </w:r>
    </w:p>
    <w:p w14:paraId="6854E53D">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本合同的范围和条件应与上述合同文件的规定相一致。</w:t>
      </w:r>
    </w:p>
    <w:p w14:paraId="7FB3F817">
      <w:pPr>
        <w:tabs>
          <w:tab w:val="left" w:pos="700"/>
        </w:tabs>
        <w:topLinePunct/>
        <w:autoSpaceDE w:val="0"/>
        <w:autoSpaceDN w:val="0"/>
        <w:snapToGrid w:val="0"/>
        <w:spacing w:line="360" w:lineRule="auto"/>
        <w:ind w:firstLine="413" w:firstLineChars="196"/>
        <w:rPr>
          <w:rFonts w:ascii="Times New Roman" w:hAnsi="Times New Roman"/>
          <w:b/>
          <w:color w:val="auto"/>
          <w:szCs w:val="21"/>
          <w:highlight w:val="none"/>
        </w:rPr>
      </w:pPr>
      <w:r>
        <w:rPr>
          <w:rFonts w:ascii="Times New Roman" w:hAnsi="Times New Roman"/>
          <w:b/>
          <w:color w:val="auto"/>
          <w:szCs w:val="21"/>
          <w:highlight w:val="none"/>
        </w:rPr>
        <w:t>3. 合同金额</w:t>
      </w:r>
    </w:p>
    <w:p w14:paraId="4C1940FA">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本合同总金额为人民币</w:t>
      </w:r>
      <w:r>
        <w:rPr>
          <w:rFonts w:ascii="Times New Roman" w:hAnsi="Times New Roman"/>
          <w:color w:val="auto"/>
          <w:szCs w:val="21"/>
          <w:highlight w:val="none"/>
          <w:u w:val="single"/>
        </w:rPr>
        <w:t xml:space="preserve">        </w:t>
      </w:r>
      <w:r>
        <w:rPr>
          <w:rFonts w:ascii="Times New Roman" w:hAnsi="Times New Roman"/>
          <w:color w:val="auto"/>
          <w:szCs w:val="21"/>
          <w:highlight w:val="none"/>
        </w:rPr>
        <w:t>元整（¥</w:t>
      </w:r>
      <w:r>
        <w:rPr>
          <w:rFonts w:ascii="Times New Roman" w:hAnsi="Times New Roman"/>
          <w:color w:val="auto"/>
          <w:szCs w:val="21"/>
          <w:highlight w:val="none"/>
          <w:u w:val="single"/>
        </w:rPr>
        <w:t xml:space="preserve">          </w:t>
      </w:r>
      <w:r>
        <w:rPr>
          <w:rFonts w:ascii="Times New Roman" w:hAnsi="Times New Roman"/>
          <w:color w:val="auto"/>
          <w:szCs w:val="21"/>
          <w:highlight w:val="none"/>
        </w:rPr>
        <w:t>）。本项目以</w:t>
      </w:r>
      <w:r>
        <w:rPr>
          <w:rFonts w:ascii="Times New Roman" w:hAnsi="Times New Roman"/>
          <w:color w:val="auto"/>
          <w:szCs w:val="21"/>
          <w:highlight w:val="none"/>
          <w:u w:val="single"/>
        </w:rPr>
        <w:t xml:space="preserve">   </w:t>
      </w:r>
      <w:r>
        <w:rPr>
          <w:rFonts w:ascii="Times New Roman" w:hAnsi="Times New Roman"/>
          <w:color w:val="auto"/>
          <w:szCs w:val="21"/>
          <w:highlight w:val="none"/>
        </w:rPr>
        <w:t>个月为1个服务周期，每个服务周期合同金额为人民币</w:t>
      </w:r>
      <w:r>
        <w:rPr>
          <w:rFonts w:ascii="Times New Roman" w:hAnsi="Times New Roman"/>
          <w:color w:val="auto"/>
          <w:szCs w:val="21"/>
          <w:highlight w:val="none"/>
          <w:u w:val="single"/>
        </w:rPr>
        <w:t xml:space="preserve">        </w:t>
      </w:r>
      <w:r>
        <w:rPr>
          <w:rFonts w:ascii="Times New Roman" w:hAnsi="Times New Roman"/>
          <w:color w:val="auto"/>
          <w:szCs w:val="21"/>
          <w:highlight w:val="none"/>
        </w:rPr>
        <w:t>元整（¥</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14:paraId="6E6B98CD">
      <w:pPr>
        <w:tabs>
          <w:tab w:val="left" w:pos="700"/>
        </w:tabs>
        <w:topLinePunct/>
        <w:autoSpaceDE w:val="0"/>
        <w:autoSpaceDN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lang w:val="en"/>
        </w:rPr>
        <w:t>4.</w:t>
      </w:r>
      <w:r>
        <w:rPr>
          <w:rFonts w:ascii="Times New Roman" w:hAnsi="Times New Roman"/>
          <w:b/>
          <w:color w:val="auto"/>
          <w:szCs w:val="21"/>
          <w:highlight w:val="none"/>
        </w:rPr>
        <w:t>付款条件</w:t>
      </w:r>
    </w:p>
    <w:p w14:paraId="67F0D1AE">
      <w:pPr>
        <w:tabs>
          <w:tab w:val="left" w:pos="700"/>
        </w:tabs>
        <w:topLinePunct/>
        <w:autoSpaceDE w:val="0"/>
        <w:autoSpaceDN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本项目每</w:t>
      </w:r>
      <w:r>
        <w:rPr>
          <w:rFonts w:ascii="Times New Roman" w:hAnsi="Times New Roman"/>
          <w:color w:val="auto"/>
          <w:szCs w:val="21"/>
          <w:highlight w:val="none"/>
          <w:u w:val="single"/>
        </w:rPr>
        <w:t xml:space="preserve">   </w:t>
      </w:r>
      <w:r>
        <w:rPr>
          <w:rFonts w:ascii="Times New Roman" w:hAnsi="Times New Roman"/>
          <w:color w:val="auto"/>
          <w:szCs w:val="21"/>
          <w:highlight w:val="none"/>
        </w:rPr>
        <w:t>个月为 1 个服务周期，共</w:t>
      </w:r>
      <w:r>
        <w:rPr>
          <w:rFonts w:ascii="Times New Roman" w:hAnsi="Times New Roman"/>
          <w:color w:val="auto"/>
          <w:szCs w:val="21"/>
          <w:highlight w:val="none"/>
          <w:u w:val="single"/>
        </w:rPr>
        <w:t xml:space="preserve">   </w:t>
      </w:r>
      <w:r>
        <w:rPr>
          <w:rFonts w:ascii="Times New Roman" w:hAnsi="Times New Roman"/>
          <w:color w:val="auto"/>
          <w:szCs w:val="21"/>
          <w:highlight w:val="none"/>
        </w:rPr>
        <w:t>个服务周期。每个服务周期，甲方按照采购文件和合同约定对乙方提供的服务进行考核或验收后支付相应款项。</w:t>
      </w:r>
    </w:p>
    <w:p w14:paraId="500AEE93">
      <w:pPr>
        <w:pStyle w:val="26"/>
        <w:tabs>
          <w:tab w:val="left" w:pos="840"/>
        </w:tabs>
        <w:adjustRightInd w:val="0"/>
        <w:snapToGrid w:val="0"/>
        <w:spacing w:line="360" w:lineRule="auto"/>
        <w:ind w:firstLine="420" w:firstLineChars="200"/>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合同以人民币结算，付款方式：</w:t>
      </w:r>
    </w:p>
    <w:p w14:paraId="27D3C703">
      <w:pPr>
        <w:pStyle w:val="26"/>
        <w:tabs>
          <w:tab w:val="left" w:pos="840"/>
        </w:tabs>
        <w:adjustRightInd w:val="0"/>
        <w:snapToGrid w:val="0"/>
        <w:spacing w:line="360" w:lineRule="auto"/>
        <w:ind w:left="19" w:leftChars="9" w:firstLine="401" w:firstLineChars="191"/>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第一次付款：在</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后，甲方支付乙方合同金额</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%的款项，即人民币</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元整（¥</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p>
    <w:p w14:paraId="3C15D7AB">
      <w:pPr>
        <w:pStyle w:val="26"/>
        <w:tabs>
          <w:tab w:val="left" w:pos="840"/>
        </w:tabs>
        <w:adjustRightInd w:val="0"/>
        <w:snapToGrid w:val="0"/>
        <w:spacing w:line="360" w:lineRule="auto"/>
        <w:ind w:firstLine="420" w:firstLineChars="200"/>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第二次付款：在</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后，甲方支付乙方合同金额</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%的款项，即人民币</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元整（¥</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p>
    <w:p w14:paraId="4CB7A838">
      <w:pPr>
        <w:pStyle w:val="26"/>
        <w:tabs>
          <w:tab w:val="left" w:pos="840"/>
        </w:tabs>
        <w:adjustRightInd w:val="0"/>
        <w:snapToGrid w:val="0"/>
        <w:spacing w:line="360" w:lineRule="auto"/>
        <w:ind w:firstLine="420" w:firstLineChars="200"/>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w:t>
      </w:r>
    </w:p>
    <w:p w14:paraId="3863D280">
      <w:pPr>
        <w:pStyle w:val="26"/>
        <w:tabs>
          <w:tab w:val="left" w:pos="840"/>
        </w:tabs>
        <w:adjustRightInd w:val="0"/>
        <w:snapToGrid w:val="0"/>
        <w:spacing w:line="360" w:lineRule="auto"/>
        <w:ind w:firstLine="420" w:firstLineChars="200"/>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每次办理付款时，乙方应提供发票、付款申请（格式另附）、合同约定的其他资料。涉及验收的，应同时提交甲方需求部门出具的验收意见。</w:t>
      </w:r>
    </w:p>
    <w:p w14:paraId="2ADB071E">
      <w:pPr>
        <w:pStyle w:val="26"/>
        <w:tabs>
          <w:tab w:val="left" w:pos="840"/>
        </w:tabs>
        <w:adjustRightInd w:val="0"/>
        <w:snapToGrid w:val="0"/>
        <w:spacing w:line="360" w:lineRule="auto"/>
        <w:ind w:firstLine="420" w:firstLineChars="200"/>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甲方在收到发票等合同约定资料</w:t>
      </w:r>
      <w:r>
        <w:rPr>
          <w:rFonts w:hint="eastAsia" w:ascii="Times New Roman" w:hAnsi="Times New Roman"/>
          <w:color w:val="auto"/>
          <w:sz w:val="21"/>
          <w:szCs w:val="21"/>
          <w:highlight w:val="none"/>
        </w:rPr>
        <w:t>并审核合格后付款</w:t>
      </w:r>
      <w:r>
        <w:rPr>
          <w:rFonts w:ascii="Times New Roman" w:hAnsi="Times New Roman"/>
          <w:color w:val="auto"/>
          <w:sz w:val="21"/>
          <w:szCs w:val="21"/>
          <w:highlight w:val="none"/>
        </w:rPr>
        <w:t>。</w:t>
      </w:r>
    </w:p>
    <w:p w14:paraId="0FF489F0">
      <w:pPr>
        <w:topLinePunct/>
        <w:autoSpaceDE w:val="0"/>
        <w:autoSpaceDN w:val="0"/>
        <w:snapToGrid w:val="0"/>
        <w:spacing w:line="360" w:lineRule="auto"/>
        <w:ind w:left="482"/>
        <w:rPr>
          <w:rFonts w:ascii="Times New Roman" w:hAnsi="Times New Roman"/>
          <w:b/>
          <w:color w:val="auto"/>
          <w:szCs w:val="21"/>
          <w:highlight w:val="none"/>
        </w:rPr>
      </w:pPr>
      <w:r>
        <w:rPr>
          <w:rFonts w:ascii="Times New Roman" w:hAnsi="Times New Roman"/>
          <w:b/>
          <w:color w:val="auto"/>
          <w:szCs w:val="21"/>
          <w:highlight w:val="none"/>
        </w:rPr>
        <w:t>5. 合同签订及生效</w:t>
      </w:r>
    </w:p>
    <w:p w14:paraId="61F9CEB7">
      <w:pPr>
        <w:pStyle w:val="26"/>
        <w:tabs>
          <w:tab w:val="left" w:pos="840"/>
        </w:tabs>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本合同一式</w:t>
      </w:r>
      <w:r>
        <w:rPr>
          <w:rFonts w:ascii="Times New Roman" w:hAnsi="Times New Roman"/>
          <w:color w:val="auto"/>
          <w:sz w:val="21"/>
          <w:szCs w:val="21"/>
          <w:highlight w:val="none"/>
          <w:u w:val="single"/>
          <w:lang w:val="en"/>
        </w:rPr>
        <w:t xml:space="preserve">   </w:t>
      </w:r>
      <w:r>
        <w:rPr>
          <w:rFonts w:ascii="Times New Roman" w:hAnsi="Times New Roman"/>
          <w:color w:val="auto"/>
          <w:sz w:val="21"/>
          <w:szCs w:val="21"/>
          <w:highlight w:val="none"/>
        </w:rPr>
        <w:t>份，由甲乙双方法定代表人或被授权人签字并盖章后生效。</w:t>
      </w:r>
    </w:p>
    <w:p w14:paraId="3C008703">
      <w:pPr>
        <w:pStyle w:val="26"/>
        <w:tabs>
          <w:tab w:val="left" w:pos="840"/>
        </w:tabs>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乙方由法定代表人签订合同的，应提供法定代表人身份证复印件；乙方由被授权人签订合同的，应提供授权委托书和法定代表人及被授权人身份证复印件。</w:t>
      </w:r>
    </w:p>
    <w:p w14:paraId="32F98F86">
      <w:pPr>
        <w:pStyle w:val="26"/>
        <w:tabs>
          <w:tab w:val="left" w:pos="840"/>
        </w:tabs>
        <w:snapToGrid w:val="0"/>
        <w:spacing w:line="360" w:lineRule="auto"/>
        <w:ind w:firstLine="420" w:firstLineChars="200"/>
        <w:rPr>
          <w:rFonts w:ascii="Times New Roman" w:hAnsi="Times New Roman"/>
          <w:color w:val="auto"/>
          <w:sz w:val="21"/>
          <w:szCs w:val="21"/>
          <w:highlight w:val="none"/>
        </w:rPr>
      </w:pPr>
    </w:p>
    <w:p w14:paraId="3A4959BE">
      <w:pPr>
        <w:tabs>
          <w:tab w:val="left" w:pos="700"/>
        </w:tabs>
        <w:topLinePunct/>
        <w:autoSpaceDE w:val="0"/>
        <w:autoSpaceDN w:val="0"/>
        <w:spacing w:line="360" w:lineRule="auto"/>
        <w:rPr>
          <w:rFonts w:ascii="Times New Roman" w:hAnsi="Times New Roman"/>
          <w:color w:val="auto"/>
          <w:szCs w:val="21"/>
          <w:highlight w:val="none"/>
        </w:rPr>
      </w:pPr>
    </w:p>
    <w:p w14:paraId="6AA0FC81">
      <w:pPr>
        <w:tabs>
          <w:tab w:val="left" w:pos="700"/>
        </w:tabs>
        <w:topLinePunct/>
        <w:autoSpaceDE w:val="0"/>
        <w:autoSpaceDN w:val="0"/>
        <w:spacing w:line="360" w:lineRule="auto"/>
        <w:ind w:left="360"/>
        <w:rPr>
          <w:rFonts w:ascii="Times New Roman" w:hAnsi="Times New Roman"/>
          <w:color w:val="auto"/>
          <w:szCs w:val="21"/>
          <w:highlight w:val="none"/>
        </w:rPr>
      </w:pPr>
      <w:r>
        <w:rPr>
          <w:rFonts w:ascii="Times New Roman" w:hAnsi="Times New Roman"/>
          <w:color w:val="auto"/>
          <w:szCs w:val="21"/>
          <w:highlight w:val="none"/>
        </w:rPr>
        <w:t>甲方：国家税务总局XX税务局             乙方：</w:t>
      </w:r>
    </w:p>
    <w:p w14:paraId="23A96CE5">
      <w:pPr>
        <w:tabs>
          <w:tab w:val="left" w:pos="700"/>
        </w:tabs>
        <w:topLinePunct/>
        <w:autoSpaceDE w:val="0"/>
        <w:autoSpaceDN w:val="0"/>
        <w:spacing w:line="360" w:lineRule="auto"/>
        <w:ind w:left="360"/>
        <w:rPr>
          <w:rFonts w:ascii="Times New Roman" w:hAnsi="Times New Roman"/>
          <w:color w:val="auto"/>
          <w:szCs w:val="21"/>
          <w:highlight w:val="none"/>
        </w:rPr>
      </w:pPr>
      <w:r>
        <w:rPr>
          <w:rFonts w:ascii="Times New Roman" w:hAnsi="Times New Roman"/>
          <w:color w:val="auto"/>
          <w:szCs w:val="21"/>
          <w:highlight w:val="none"/>
        </w:rPr>
        <w:t>签字：                                 签字：</w:t>
      </w:r>
    </w:p>
    <w:p w14:paraId="07C4221C">
      <w:pPr>
        <w:tabs>
          <w:tab w:val="left" w:pos="700"/>
        </w:tabs>
        <w:topLinePunct/>
        <w:autoSpaceDE w:val="0"/>
        <w:autoSpaceDN w:val="0"/>
        <w:spacing w:line="360" w:lineRule="auto"/>
        <w:ind w:left="360"/>
        <w:rPr>
          <w:rFonts w:ascii="Times New Roman" w:hAnsi="Times New Roman"/>
          <w:color w:val="auto"/>
          <w:szCs w:val="21"/>
          <w:highlight w:val="none"/>
        </w:rPr>
      </w:pPr>
      <w:r>
        <w:rPr>
          <w:rFonts w:ascii="Times New Roman" w:hAnsi="Times New Roman"/>
          <w:color w:val="auto"/>
          <w:szCs w:val="21"/>
          <w:highlight w:val="none"/>
        </w:rPr>
        <w:t xml:space="preserve">盖章：                                 盖章： </w:t>
      </w:r>
    </w:p>
    <w:p w14:paraId="6A9D66ED">
      <w:pPr>
        <w:tabs>
          <w:tab w:val="left" w:pos="700"/>
        </w:tabs>
        <w:topLinePunct/>
        <w:autoSpaceDE w:val="0"/>
        <w:autoSpaceDN w:val="0"/>
        <w:spacing w:line="360" w:lineRule="auto"/>
        <w:ind w:left="360"/>
        <w:rPr>
          <w:rFonts w:ascii="Times New Roman" w:hAnsi="Times New Roman"/>
          <w:color w:val="auto"/>
          <w:szCs w:val="21"/>
          <w:highlight w:val="none"/>
        </w:rPr>
      </w:pPr>
      <w:r>
        <w:rPr>
          <w:rFonts w:ascii="Times New Roman" w:hAnsi="Times New Roman"/>
          <w:color w:val="auto"/>
          <w:szCs w:val="21"/>
          <w:highlight w:val="none"/>
        </w:rPr>
        <w:t>日期：    年    月    日               日期：     年   月   日</w:t>
      </w:r>
    </w:p>
    <w:p w14:paraId="71A6652C">
      <w:pPr>
        <w:topLinePunct/>
        <w:autoSpaceDE w:val="0"/>
        <w:autoSpaceDN w:val="0"/>
        <w:spacing w:line="360" w:lineRule="auto"/>
        <w:rPr>
          <w:rFonts w:ascii="Times New Roman" w:hAnsi="Times New Roman"/>
          <w:b/>
          <w:color w:val="auto"/>
          <w:szCs w:val="21"/>
          <w:highlight w:val="none"/>
        </w:rPr>
      </w:pPr>
    </w:p>
    <w:p w14:paraId="63CE5120">
      <w:pPr>
        <w:topLinePunct/>
        <w:autoSpaceDE w:val="0"/>
        <w:autoSpaceDN w:val="0"/>
        <w:spacing w:line="460" w:lineRule="exact"/>
        <w:jc w:val="center"/>
        <w:rPr>
          <w:rFonts w:hint="eastAsia" w:ascii="宋体" w:hAnsi="宋体" w:cs="宋体"/>
          <w:b/>
          <w:color w:val="auto"/>
          <w:sz w:val="24"/>
          <w:highlight w:val="none"/>
        </w:rPr>
      </w:pPr>
    </w:p>
    <w:p w14:paraId="301A3CFD">
      <w:pPr>
        <w:topLinePunct/>
        <w:autoSpaceDE w:val="0"/>
        <w:autoSpaceDN w:val="0"/>
        <w:spacing w:line="460" w:lineRule="exact"/>
        <w:jc w:val="center"/>
        <w:rPr>
          <w:rFonts w:hint="eastAsia" w:ascii="宋体" w:hAnsi="宋体" w:cs="宋体"/>
          <w:b/>
          <w:color w:val="auto"/>
          <w:sz w:val="24"/>
          <w:highlight w:val="none"/>
        </w:rPr>
      </w:pPr>
    </w:p>
    <w:p w14:paraId="03C32C55">
      <w:pPr>
        <w:topLinePunct/>
        <w:autoSpaceDE w:val="0"/>
        <w:autoSpaceDN w:val="0"/>
        <w:spacing w:line="360" w:lineRule="auto"/>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1B98CBAF">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 定义</w:t>
      </w:r>
    </w:p>
    <w:p w14:paraId="310D4548">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14:paraId="5E09FC12">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1.1“甲方”是指国家税务总局</w:t>
      </w:r>
      <w:r>
        <w:rPr>
          <w:rFonts w:ascii="Times New Roman" w:hAnsi="Times New Roman"/>
          <w:color w:val="auto"/>
          <w:szCs w:val="21"/>
          <w:highlight w:val="none"/>
          <w:lang w:val="en"/>
        </w:rPr>
        <w:t>XX税务局</w:t>
      </w:r>
      <w:r>
        <w:rPr>
          <w:rFonts w:ascii="Times New Roman" w:hAnsi="Times New Roman"/>
          <w:color w:val="auto"/>
          <w:szCs w:val="21"/>
          <w:highlight w:val="none"/>
        </w:rPr>
        <w:t>。</w:t>
      </w:r>
    </w:p>
    <w:p w14:paraId="72C54D74">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14:paraId="552B7F6F">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14:paraId="07A862E2">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14:paraId="511A9044">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14:paraId="5F25F17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 “天”除非特别指出，“天”均为自然天。</w:t>
      </w:r>
    </w:p>
    <w:p w14:paraId="7C182896">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 标准</w:t>
      </w:r>
    </w:p>
    <w:p w14:paraId="329F190E">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14:paraId="6A20303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14:paraId="3FF4FCF1">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3. 服务</w:t>
      </w:r>
    </w:p>
    <w:p w14:paraId="409A1959">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本项目的“服务”见“合同条款前附表”第8项“服务内容”。</w:t>
      </w:r>
    </w:p>
    <w:p w14:paraId="30807B9B">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 乙方应保证所提供的服务符合合同规定的要求。如不符时，乙方应负全责并尽快处理解决，由此造成的损失和相关费用由乙方负责，甲方保留终止合同及索赔的权利。</w:t>
      </w:r>
    </w:p>
    <w:p w14:paraId="06C52628">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3.3 乙方应保证通过执行合同中全部方案后，可以取得本合同约定的结果，达到本合同约定的预期目标。对任何情况下出现的问题，应尽快提出解决方案。</w:t>
      </w:r>
    </w:p>
    <w:p w14:paraId="39B7A25F">
      <w:pPr>
        <w:tabs>
          <w:tab w:val="left" w:pos="0"/>
          <w:tab w:val="left" w:pos="54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3.4 如果乙方提供的服务和解决方案不符合甲方要求，或在规定的时间内没有弥补缺陷，甲方有权采取一切必要的补救措施，由此产生的费用全部由乙方负责。</w:t>
      </w:r>
    </w:p>
    <w:p w14:paraId="54B7C3E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3.5 除合同条款另行规定外，伴随服务的费用应含在合同价中，不单独进行支付。</w:t>
      </w:r>
    </w:p>
    <w:p w14:paraId="1B0C50A2">
      <w:pPr>
        <w:tabs>
          <w:tab w:val="left" w:pos="0"/>
          <w:tab w:val="left" w:pos="540"/>
        </w:tabs>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14:paraId="639257C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p>
    <w:p w14:paraId="501B8029">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14:paraId="2A96D7C7">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14:paraId="08606971">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14:paraId="2C9A615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14:paraId="5ABB6E7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214C0AED">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应以审慎态度避免泄漏、公开或传播甲方的信息；</w:t>
      </w:r>
    </w:p>
    <w:p w14:paraId="43A4DE70">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在开发过程中对数据的处理方式应事先得到甲方的许可；</w:t>
      </w:r>
    </w:p>
    <w:p w14:paraId="633EE89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未经甲方书面许可，不得对有关信息进行修改、补充、复制；</w:t>
      </w:r>
    </w:p>
    <w:p w14:paraId="059FA4D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 未经甲方书面许可，不得将信息以任何方式（如E-mail）携带出甲方场所；</w:t>
      </w:r>
    </w:p>
    <w:p w14:paraId="718AEB3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 未经甲方书面许可，不得将信息透露给任何其他人； </w:t>
      </w:r>
    </w:p>
    <w:p w14:paraId="2016064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 严禁在提交的软件产品中设置远程维护接口和后门程序；</w:t>
      </w:r>
    </w:p>
    <w:p w14:paraId="6BC3899E">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 不得进行系统软硬件设备的远程维护；</w:t>
      </w:r>
    </w:p>
    <w:p w14:paraId="41AA11F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 甲方以书面形式提出的其他保密措施。</w:t>
      </w:r>
    </w:p>
    <w:p w14:paraId="0414742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保密期限不受合同有效期的限制，在合同有效期结束后，信息接受方仍应承担保密义务，直至该等信息成为公开信息。</w:t>
      </w:r>
    </w:p>
    <w:p w14:paraId="6BBA12A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甲乙双方如出现泄密行为，泄密方应承担相关的法律责任，包括但是不限于对由此给对方造成的经济损失进行赔偿。</w:t>
      </w:r>
    </w:p>
    <w:p w14:paraId="37649BA8">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14:paraId="031B9DA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14:paraId="512B7E3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14:paraId="687F3251">
      <w:pPr>
        <w:tabs>
          <w:tab w:val="left" w:pos="0"/>
          <w:tab w:val="left" w:pos="540"/>
        </w:tabs>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14:paraId="0542B4F3">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14:paraId="16901F4D">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14:paraId="0B0233AA">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0CAD10C0">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14:paraId="1ED6E810">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14:paraId="651CBCAD">
      <w:pPr>
        <w:tabs>
          <w:tab w:val="left" w:pos="0"/>
          <w:tab w:val="left" w:pos="540"/>
        </w:tabs>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14:paraId="56484C96">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14:paraId="6E00EB7D">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0C0E652B">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14:paraId="7092ABD8">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14:paraId="166C9D1E">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14:paraId="29DDC56F">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14:paraId="5D2ED76E">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4570D021">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14:paraId="4A92A565">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9.3 除应支付甲方违约金等外，甲方有权根据合同或有关部门出具的检验证书向乙方提出索赔。</w:t>
      </w:r>
    </w:p>
    <w:p w14:paraId="3FFCFE03">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9.4 如果乙方对差异负有责任而甲方提出索赔，乙方同意按照下列方式解决索赔事宜：</w:t>
      </w:r>
    </w:p>
    <w:p w14:paraId="7ADD1BFB">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14:paraId="141A8308">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14:paraId="7556DF7C">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14:paraId="54EFDAB4">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14:paraId="4C1B2CF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 如果乙方因不可抗力而导致合同实施延误或不能履行合同义务，不应承担误期赔偿或终止合同的责任。</w:t>
      </w:r>
    </w:p>
    <w:p w14:paraId="6CD6920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2E275D2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62279F61">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14:paraId="013A1B7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 甲乙双方应首先通过友好协商解决在执行本合同中所发生的或与本合同有关的一切争端。如从协商开始</w:t>
      </w:r>
      <w:r>
        <w:rPr>
          <w:rFonts w:ascii="Times New Roman" w:hAnsi="Times New Roman"/>
          <w:color w:val="auto"/>
          <w:szCs w:val="21"/>
          <w:highlight w:val="none"/>
          <w:u w:val="single"/>
        </w:rPr>
        <w:t xml:space="preserve">    </w:t>
      </w:r>
      <w:r>
        <w:rPr>
          <w:rFonts w:ascii="Times New Roman" w:hAnsi="Times New Roman"/>
          <w:color w:val="auto"/>
          <w:szCs w:val="21"/>
          <w:highlight w:val="none"/>
        </w:rPr>
        <w:t>天内仍不能解决，可以按合同约定的方式提起仲裁或诉讼。</w:t>
      </w:r>
    </w:p>
    <w:p w14:paraId="73691128">
      <w:pPr>
        <w:spacing w:line="360" w:lineRule="auto"/>
        <w:ind w:left="239" w:leftChars="114" w:firstLine="210" w:firstLineChars="100"/>
        <w:rPr>
          <w:rFonts w:ascii="Times New Roman" w:hAnsi="Times New Roman"/>
          <w:color w:val="auto"/>
          <w:szCs w:val="21"/>
          <w:highlight w:val="none"/>
        </w:rPr>
      </w:pPr>
      <w:r>
        <w:rPr>
          <w:rFonts w:ascii="Times New Roman" w:hAnsi="Times New Roman"/>
          <w:color w:val="auto"/>
          <w:szCs w:val="21"/>
          <w:highlight w:val="none"/>
        </w:rPr>
        <w:t>11.2.1仲裁应向甲方所在地或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14:paraId="382513D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11.2.2 仲裁裁决应为最终裁决，对双方均具有约束力。</w:t>
      </w:r>
    </w:p>
    <w:p w14:paraId="5050E9A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11.2.3 仲裁费除仲裁机关另有裁决外应由败诉方负担。</w:t>
      </w:r>
    </w:p>
    <w:p w14:paraId="0165BA1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11.2.4在仲裁期间，除正在进行仲裁部分外，本合同的其它部分应继续执行。</w:t>
      </w:r>
    </w:p>
    <w:p w14:paraId="552A1CB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11.3.1诉讼应向甲方所在地或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人民法院提起诉讼。</w:t>
      </w:r>
    </w:p>
    <w:p w14:paraId="5BB210D4">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11.3.2诉讼费除人民法院另有判决外，应由败诉方负担。</w:t>
      </w:r>
    </w:p>
    <w:p w14:paraId="46568F2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11.3.3在诉讼期间，除正在进行诉讼部分外，本合同的其它部分应继续执行。</w:t>
      </w:r>
    </w:p>
    <w:p w14:paraId="5AFC0E5A">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14:paraId="275C3386">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32D8D37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 乙方不履行合同义务或者履行合同义务不符合合同约定累计达两次的；</w:t>
      </w:r>
    </w:p>
    <w:p w14:paraId="4F5B426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12.1.2 如果乙方未能在合同规定的期限或甲方同意延长的期限内提供服务，迟延累计达20日的；</w:t>
      </w:r>
    </w:p>
    <w:p w14:paraId="2F559C5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12.1.3 因乙方人员自身技术能力、经验不足等问题造成甲方发生重大紧急故障，带来重大影响和损失的；</w:t>
      </w:r>
    </w:p>
    <w:p w14:paraId="23A7D959">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12.1.4 乙方对重大紧急故障没有及时响应，或不能在规定时间内解决处理故障、恢复正常运行的；</w:t>
      </w:r>
    </w:p>
    <w:p w14:paraId="5B260579">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12.1.5 乙方不能满足本项目技术需求的管理要求和规范，且经两次整改无明显改进的；</w:t>
      </w:r>
    </w:p>
    <w:p w14:paraId="0C46AA16">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14:paraId="0C737812">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12.1.7 乙方在本项目实施过程中发生违反网络安全规定行为造成不良后果的。</w:t>
      </w:r>
    </w:p>
    <w:p w14:paraId="2861DCA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12.1.8 乙方提供的服务侵犯甲方、第三方知识产权等合法权益的；</w:t>
      </w:r>
    </w:p>
    <w:p w14:paraId="681BD41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12.1.9 乙方或乙方人员造成甲方或第三方经济损失而拒不赔偿的；</w:t>
      </w:r>
    </w:p>
    <w:p w14:paraId="793F6983">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12.1.10 乙方转让其应履行的合同义务，或未经甲方同意采取分包方式履行合同</w:t>
      </w:r>
    </w:p>
    <w:p w14:paraId="6820884D">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的；</w:t>
      </w:r>
    </w:p>
    <w:p w14:paraId="05441794">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12.1.11 乙方有其他严重违约行为的。</w:t>
      </w:r>
    </w:p>
    <w:p w14:paraId="74514D2D">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14:paraId="1BB40CAA">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14:paraId="378C48C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14:paraId="06ACD47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14:paraId="15268FC3">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14:paraId="61BFC0E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14.1 乙方在执行合同的过程中发生重大事故或变故，对履行合同有直接影响的，甲方可以提出终止合同而不给予乙方任何补偿。</w:t>
      </w:r>
    </w:p>
    <w:p w14:paraId="3D3C6A97">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14.2 在服务期内，由于甲方工作计划调整，推广使用新应用系统导致本项目相关服务停止的，甲方可以提出终止合同而不给予乙方任何补偿。</w:t>
      </w:r>
    </w:p>
    <w:p w14:paraId="29830686">
      <w:pPr>
        <w:tabs>
          <w:tab w:val="left" w:pos="700"/>
        </w:tabs>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14:paraId="31913981">
      <w:pPr>
        <w:spacing w:line="360" w:lineRule="auto"/>
        <w:ind w:firstLine="482"/>
        <w:rPr>
          <w:rFonts w:ascii="Times New Roman" w:hAnsi="Times New Roman"/>
          <w:color w:val="auto"/>
          <w:szCs w:val="21"/>
          <w:highlight w:val="none"/>
        </w:rPr>
      </w:pPr>
      <w:r>
        <w:rPr>
          <w:rFonts w:ascii="Times New Roman" w:hAnsi="Times New Roman"/>
          <w:color w:val="auto"/>
          <w:szCs w:val="21"/>
          <w:highlight w:val="none"/>
        </w:rPr>
        <w:t>15.1 合同如有未尽事宜，须经甲乙双方共同协商，做出补充约定，并签订书面补充合同或变更协议。补充合同或变更协议作为本合同的一部分，与本合同具有同等效力。</w:t>
      </w:r>
    </w:p>
    <w:p w14:paraId="0586F1B6">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color w:val="auto"/>
          <w:szCs w:val="21"/>
          <w:highlight w:val="none"/>
        </w:rPr>
        <w:t>15.2 除了双方签署书面修改或变更协议，并成为本合同不可分割的一部分的情况之外，本合同的条款不得有任何变化或修改。</w:t>
      </w:r>
    </w:p>
    <w:p w14:paraId="1D5976C7">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15.3 由于采购人项目统一规划等原因导致本项目停止部分服务的，甲方将与乙方协商处理。</w:t>
      </w:r>
    </w:p>
    <w:p w14:paraId="14897E63">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14:paraId="2570B43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14:paraId="3D993827">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14:paraId="1F268C99">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14:paraId="559C9DC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14:paraId="4707DC9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14:paraId="130C1F76">
      <w:pPr>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14:paraId="0BB7367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 本合同按照中华人民共和国现行法律进行解释。</w:t>
      </w:r>
    </w:p>
    <w:p w14:paraId="5905ECC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14:paraId="485E1342">
      <w:pPr>
        <w:topLinePunct/>
        <w:autoSpaceDE w:val="0"/>
        <w:autoSpaceDN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14:paraId="2339224E">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乙方应依法缴纳的合同服务相关税费，均已包含于合同总金额中，甲方不再另行支付。</w:t>
      </w:r>
    </w:p>
    <w:p w14:paraId="2D3C9D83">
      <w:pPr>
        <w:tabs>
          <w:tab w:val="left" w:pos="700"/>
        </w:tabs>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20. 合同生效</w:t>
      </w:r>
    </w:p>
    <w:p w14:paraId="5EA2A773">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20.1 本合同一式</w:t>
      </w:r>
      <w:r>
        <w:rPr>
          <w:rFonts w:ascii="Times New Roman" w:hAnsi="Times New Roman"/>
          <w:color w:val="auto"/>
          <w:szCs w:val="21"/>
          <w:highlight w:val="none"/>
          <w:u w:val="single"/>
        </w:rPr>
        <w:t xml:space="preserve">   </w:t>
      </w:r>
      <w:r>
        <w:rPr>
          <w:rFonts w:ascii="Times New Roman" w:hAnsi="Times New Roman"/>
          <w:color w:val="auto"/>
          <w:szCs w:val="21"/>
          <w:highlight w:val="none"/>
        </w:rPr>
        <w:t>份，由甲乙双方法定代表人或被授权人签字并盖章后生效。</w:t>
      </w:r>
    </w:p>
    <w:p w14:paraId="6C17BF75">
      <w:pPr>
        <w:spacing w:line="360" w:lineRule="auto"/>
        <w:ind w:firstLine="420" w:firstLineChars="200"/>
        <w:rPr>
          <w:rFonts w:ascii="Times New Roman" w:hAnsi="Times New Roman"/>
          <w:color w:val="auto"/>
          <w:szCs w:val="21"/>
          <w:highlight w:val="none"/>
        </w:rPr>
      </w:pPr>
    </w:p>
    <w:p w14:paraId="2D45A66B">
      <w:pPr>
        <w:spacing w:line="360" w:lineRule="auto"/>
        <w:ind w:firstLine="420" w:firstLineChars="200"/>
        <w:rPr>
          <w:rFonts w:ascii="Times New Roman" w:hAnsi="Times New Roman"/>
          <w:color w:val="auto"/>
          <w:szCs w:val="21"/>
          <w:highlight w:val="none"/>
        </w:rPr>
      </w:pPr>
    </w:p>
    <w:p w14:paraId="6BFAF25A">
      <w:pPr>
        <w:rPr>
          <w:rFonts w:hint="eastAsia" w:ascii="宋体" w:hAnsi="宋体" w:cs="宋体"/>
          <w:color w:val="auto"/>
          <w:sz w:val="24"/>
          <w:highlight w:val="none"/>
        </w:rPr>
      </w:pPr>
      <w:r>
        <w:rPr>
          <w:rFonts w:hint="eastAsia" w:ascii="宋体" w:hAnsi="宋体" w:cs="宋体"/>
          <w:color w:val="auto"/>
          <w:sz w:val="24"/>
          <w:highlight w:val="none"/>
        </w:rPr>
        <w:br w:type="page"/>
      </w:r>
    </w:p>
    <w:p w14:paraId="37B43676">
      <w:pPr>
        <w:ind w:firstLine="480" w:firstLineChars="200"/>
        <w:rPr>
          <w:rFonts w:hint="eastAsia" w:ascii="宋体" w:hAnsi="宋体" w:cs="宋体"/>
          <w:color w:val="auto"/>
          <w:sz w:val="24"/>
          <w:highlight w:val="none"/>
        </w:rPr>
      </w:pPr>
    </w:p>
    <w:p w14:paraId="6837E736">
      <w:pPr>
        <w:topLinePunct/>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三   招标（采购）文件及投标（响应）文件（如需要，可另附）</w:t>
      </w:r>
    </w:p>
    <w:p w14:paraId="180E009E">
      <w:pPr>
        <w:spacing w:line="360" w:lineRule="auto"/>
        <w:jc w:val="center"/>
        <w:rPr>
          <w:rFonts w:hint="eastAsia"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四   报价表（总报价表和分项报价表，如有需要可另附）</w:t>
      </w:r>
    </w:p>
    <w:p w14:paraId="2C59B9A6">
      <w:pPr>
        <w:rPr>
          <w:color w:val="auto"/>
          <w:highlight w:val="none"/>
        </w:rPr>
      </w:pPr>
    </w:p>
    <w:p w14:paraId="27D93E63">
      <w:pPr>
        <w:rPr>
          <w:color w:val="auto"/>
          <w:highlight w:val="none"/>
        </w:rPr>
        <w:sectPr>
          <w:pgSz w:w="11906" w:h="16838"/>
          <w:pgMar w:top="1440" w:right="1752" w:bottom="1440" w:left="1752" w:header="851" w:footer="992" w:gutter="0"/>
          <w:cols w:space="720" w:num="1"/>
          <w:titlePg/>
          <w:docGrid w:type="lines" w:linePitch="312" w:charSpace="0"/>
        </w:sectPr>
      </w:pPr>
    </w:p>
    <w:p w14:paraId="2EB1470D">
      <w:pPr>
        <w:jc w:val="center"/>
        <w:rPr>
          <w:rFonts w:hint="eastAsia" w:ascii="华文中宋" w:hAnsi="华文中宋" w:eastAsia="华文中宋" w:cs="华文中宋"/>
          <w:color w:val="auto"/>
          <w:sz w:val="28"/>
          <w:szCs w:val="28"/>
          <w:highlight w:val="none"/>
        </w:rPr>
      </w:pPr>
      <w:bookmarkStart w:id="33" w:name="_Toc132880284"/>
      <w:r>
        <w:rPr>
          <w:rFonts w:hint="eastAsia" w:ascii="华文中宋" w:hAnsi="华文中宋" w:eastAsia="华文中宋" w:cs="华文中宋"/>
          <w:color w:val="auto"/>
          <w:sz w:val="28"/>
          <w:szCs w:val="28"/>
          <w:highlight w:val="none"/>
        </w:rPr>
        <w:t>第五章　投标文件格式</w:t>
      </w:r>
      <w:bookmarkEnd w:id="33"/>
    </w:p>
    <w:p w14:paraId="45217E0A">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14:paraId="66EA7C1D">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14:paraId="6C211D5F">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14:paraId="4C300946">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14:paraId="3BEFDE69">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14:paraId="7876A8A1">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14:paraId="54B755A5">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14:paraId="5335DCEC">
      <w:pPr>
        <w:adjustRightInd w:val="0"/>
        <w:snapToGrid w:val="0"/>
        <w:spacing w:before="62" w:beforeLines="20" w:after="4" w:line="360" w:lineRule="auto"/>
        <w:ind w:firstLine="422" w:firstLineChars="200"/>
        <w:jc w:val="center"/>
        <w:rPr>
          <w:b/>
          <w:bCs/>
          <w:color w:val="auto"/>
          <w:highlight w:val="none"/>
        </w:rPr>
      </w:pPr>
    </w:p>
    <w:p w14:paraId="33F364A0">
      <w:pPr>
        <w:ind w:firstLine="422" w:firstLineChars="200"/>
        <w:jc w:val="center"/>
        <w:rPr>
          <w:b/>
          <w:bCs/>
          <w:color w:val="auto"/>
          <w:highlight w:val="none"/>
        </w:rPr>
      </w:pPr>
    </w:p>
    <w:p w14:paraId="1BBE048C">
      <w:pPr>
        <w:rPr>
          <w:color w:val="auto"/>
          <w:highlight w:val="none"/>
        </w:rPr>
      </w:pPr>
    </w:p>
    <w:p w14:paraId="2D74C194">
      <w:pPr>
        <w:rPr>
          <w:b/>
          <w:bCs/>
          <w:color w:val="auto"/>
          <w:highlight w:val="none"/>
        </w:rPr>
      </w:pPr>
    </w:p>
    <w:p w14:paraId="515CB36C">
      <w:pPr>
        <w:adjustRightInd w:val="0"/>
        <w:snapToGrid w:val="0"/>
        <w:spacing w:line="360" w:lineRule="auto"/>
        <w:jc w:val="center"/>
        <w:rPr>
          <w:b/>
          <w:bCs/>
          <w:color w:val="auto"/>
          <w:highlight w:val="none"/>
        </w:rPr>
      </w:pPr>
      <w:r>
        <w:rPr>
          <w:rFonts w:hint="eastAsia"/>
          <w:b/>
          <w:bCs/>
          <w:color w:val="auto"/>
          <w:highlight w:val="none"/>
        </w:rPr>
        <w:br w:type="page"/>
      </w:r>
    </w:p>
    <w:p w14:paraId="44CF1551">
      <w:pPr>
        <w:spacing w:line="600" w:lineRule="auto"/>
        <w:jc w:val="center"/>
        <w:rPr>
          <w:rFonts w:hint="eastAsia" w:ascii="宋体" w:hAnsi="宋体"/>
          <w:b/>
          <w:color w:val="auto"/>
          <w:kern w:val="0"/>
          <w:sz w:val="44"/>
          <w:szCs w:val="44"/>
          <w:highlight w:val="none"/>
        </w:rPr>
      </w:pPr>
    </w:p>
    <w:p w14:paraId="64B62B93">
      <w:pPr>
        <w:spacing w:line="600" w:lineRule="auto"/>
        <w:jc w:val="center"/>
        <w:rPr>
          <w:rFonts w:hint="eastAsia" w:ascii="华文中宋" w:hAnsi="华文中宋" w:eastAsia="华文中宋" w:cs="华文中宋"/>
          <w:bCs/>
          <w:color w:val="auto"/>
          <w:kern w:val="0"/>
          <w:sz w:val="32"/>
          <w:szCs w:val="32"/>
          <w:highlight w:val="none"/>
        </w:rPr>
      </w:pPr>
    </w:p>
    <w:p w14:paraId="73926C1C">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14:paraId="4A47F9BB">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商务部分</w:t>
      </w:r>
    </w:p>
    <w:p w14:paraId="4F868F36">
      <w:pPr>
        <w:spacing w:line="360" w:lineRule="auto"/>
        <w:ind w:firstLine="640" w:firstLineChars="200"/>
        <w:jc w:val="center"/>
        <w:rPr>
          <w:rFonts w:hint="eastAsia" w:ascii="宋体" w:hAnsi="宋体"/>
          <w:color w:val="auto"/>
          <w:kern w:val="0"/>
          <w:sz w:val="32"/>
          <w:szCs w:val="32"/>
          <w:highlight w:val="none"/>
        </w:rPr>
      </w:pPr>
    </w:p>
    <w:p w14:paraId="0EAA8A34">
      <w:pPr>
        <w:spacing w:line="360" w:lineRule="auto"/>
        <w:jc w:val="center"/>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（填写正本或副本）</w:t>
      </w:r>
    </w:p>
    <w:p w14:paraId="50B3325A">
      <w:pPr>
        <w:spacing w:line="360" w:lineRule="auto"/>
        <w:ind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14:paraId="334EF134">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项目名称：</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38297CC1">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项目编号：</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501AC204">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所投采购包：</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2B76AFD5">
      <w:pPr>
        <w:spacing w:line="360" w:lineRule="auto"/>
        <w:ind w:left="1470" w:leftChars="700"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14:paraId="5E77A39B">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投标人：</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47180230">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日  期：</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7BBD6DE8">
      <w:pPr>
        <w:widowControl/>
        <w:jc w:val="left"/>
        <w:rPr>
          <w:rFonts w:hint="eastAsia" w:ascii="宋体" w:hAnsi="宋体" w:cs="宋体"/>
          <w:b/>
          <w:bCs/>
          <w:color w:val="auto"/>
          <w:sz w:val="36"/>
          <w:szCs w:val="36"/>
          <w:highlight w:val="none"/>
        </w:rPr>
      </w:pPr>
      <w:r>
        <w:rPr>
          <w:rFonts w:ascii="宋体" w:hAnsi="宋体" w:cs="宋体"/>
          <w:b/>
          <w:bCs/>
          <w:color w:val="auto"/>
          <w:sz w:val="36"/>
          <w:szCs w:val="36"/>
          <w:highlight w:val="none"/>
        </w:rPr>
        <w:br w:type="page"/>
      </w:r>
    </w:p>
    <w:p w14:paraId="3FC7FFA9">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格式1  授权委托书</w:t>
      </w:r>
    </w:p>
    <w:p w14:paraId="7B3A9D9F">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1-1法定代表人授权委托书</w:t>
      </w:r>
    </w:p>
    <w:p w14:paraId="3C0D1CE3">
      <w:pPr>
        <w:adjustRightInd w:val="0"/>
        <w:snapToGrid w:val="0"/>
        <w:spacing w:line="360" w:lineRule="auto"/>
        <w:jc w:val="center"/>
        <w:rPr>
          <w:rFonts w:hint="eastAsia" w:ascii="宋体" w:hAnsi="宋体" w:cs="宋体"/>
          <w:b/>
          <w:bCs/>
          <w:color w:val="auto"/>
          <w:sz w:val="24"/>
          <w:highlight w:val="none"/>
        </w:rPr>
      </w:pPr>
      <w:r>
        <w:rPr>
          <w:rFonts w:ascii="宋体" w:hAnsi="宋体" w:cs="宋体"/>
          <w:color w:val="auto"/>
          <w:szCs w:val="21"/>
          <w:highlight w:val="none"/>
        </w:rPr>
        <w:t>(</w:t>
      </w:r>
      <w:r>
        <w:rPr>
          <w:rFonts w:hint="eastAsia" w:ascii="宋体" w:hAnsi="宋体" w:cs="宋体"/>
          <w:color w:val="auto"/>
          <w:szCs w:val="21"/>
          <w:highlight w:val="none"/>
        </w:rPr>
        <w:t>适用于授权代表参加投标</w:t>
      </w:r>
      <w:r>
        <w:rPr>
          <w:rFonts w:ascii="宋体" w:hAnsi="宋体" w:cs="宋体"/>
          <w:color w:val="auto"/>
          <w:szCs w:val="21"/>
          <w:highlight w:val="none"/>
        </w:rPr>
        <w:t>)</w:t>
      </w:r>
    </w:p>
    <w:p w14:paraId="6E266891">
      <w:pPr>
        <w:pStyle w:val="12"/>
        <w:rPr>
          <w:rFonts w:ascii="Times New Roman" w:hAnsi="Times New Roman" w:eastAsia="仿宋_GB2312"/>
          <w:color w:val="auto"/>
          <w:highlight w:val="none"/>
        </w:rPr>
      </w:pPr>
    </w:p>
    <w:p w14:paraId="3D83D80E">
      <w:pPr>
        <w:spacing w:line="360" w:lineRule="auto"/>
        <w:rPr>
          <w:color w:val="auto"/>
          <w:highlight w:val="none"/>
        </w:rPr>
      </w:pPr>
      <w:r>
        <w:rPr>
          <w:color w:val="auto"/>
          <w:highlight w:val="none"/>
        </w:rPr>
        <w:t>致____________(采购人或采购代理机构)：</w:t>
      </w:r>
    </w:p>
    <w:p w14:paraId="2CD38E73">
      <w:pPr>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》（项目编号：_______）投标、合同的执行，以本公司名义处理一切与之有关的事务。</w:t>
      </w:r>
    </w:p>
    <w:p w14:paraId="5B98B833">
      <w:pPr>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本授权书于______年______月_____日生效，特此声明。</w:t>
      </w:r>
    </w:p>
    <w:p w14:paraId="2DC6AB0B">
      <w:pPr>
        <w:pStyle w:val="12"/>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被授权投标代表无转委托权。</w:t>
      </w:r>
    </w:p>
    <w:p w14:paraId="4EC2F12A">
      <w:pPr>
        <w:pStyle w:val="12"/>
        <w:adjustRightInd w:val="0"/>
        <w:snapToGrid w:val="0"/>
        <w:spacing w:line="360" w:lineRule="auto"/>
        <w:rPr>
          <w:rFonts w:hint="eastAsia" w:hAnsi="宋体" w:cs="宋体"/>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351E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noWrap/>
            <w:vAlign w:val="center"/>
          </w:tcPr>
          <w:p w14:paraId="16825C10">
            <w:pPr>
              <w:pStyle w:val="12"/>
              <w:adjustRightInd w:val="0"/>
              <w:snapToGrid w:val="0"/>
              <w:spacing w:line="360" w:lineRule="auto"/>
              <w:jc w:val="center"/>
              <w:rPr>
                <w:rFonts w:hint="eastAsia" w:hAnsi="宋体" w:cs="宋体"/>
                <w:color w:val="auto"/>
                <w:highlight w:val="none"/>
              </w:rPr>
            </w:pPr>
          </w:p>
          <w:p w14:paraId="510595EB">
            <w:pPr>
              <w:pStyle w:val="12"/>
              <w:adjustRightInd w:val="0"/>
              <w:snapToGrid w:val="0"/>
              <w:spacing w:line="360" w:lineRule="auto"/>
              <w:jc w:val="center"/>
              <w:rPr>
                <w:rFonts w:hint="eastAsia" w:hAnsi="宋体" w:cs="宋体"/>
                <w:color w:val="auto"/>
                <w:highlight w:val="none"/>
              </w:rPr>
            </w:pPr>
          </w:p>
          <w:p w14:paraId="4848C472">
            <w:pPr>
              <w:pStyle w:val="12"/>
              <w:adjustRightInd w:val="0"/>
              <w:snapToGrid w:val="0"/>
              <w:spacing w:line="360" w:lineRule="auto"/>
              <w:jc w:val="center"/>
              <w:rPr>
                <w:rFonts w:hint="eastAsia" w:hAnsi="宋体" w:cs="宋体"/>
                <w:color w:val="auto"/>
                <w:highlight w:val="none"/>
              </w:rPr>
            </w:pPr>
          </w:p>
          <w:p w14:paraId="443920EB">
            <w:pPr>
              <w:pStyle w:val="12"/>
              <w:adjustRightInd w:val="0"/>
              <w:snapToGrid w:val="0"/>
              <w:spacing w:line="360" w:lineRule="auto"/>
              <w:jc w:val="center"/>
              <w:rPr>
                <w:rFonts w:hint="eastAsia"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14:paraId="38B01DB3">
            <w:pPr>
              <w:pStyle w:val="12"/>
              <w:adjustRightInd w:val="0"/>
              <w:snapToGrid w:val="0"/>
              <w:spacing w:line="360" w:lineRule="auto"/>
              <w:jc w:val="center"/>
              <w:rPr>
                <w:rFonts w:hint="eastAsia" w:hAnsi="宋体" w:cs="宋体"/>
                <w:color w:val="auto"/>
                <w:highlight w:val="none"/>
              </w:rPr>
            </w:pPr>
          </w:p>
          <w:p w14:paraId="15DDCF44">
            <w:pPr>
              <w:pStyle w:val="12"/>
              <w:adjustRightInd w:val="0"/>
              <w:snapToGrid w:val="0"/>
              <w:spacing w:line="360" w:lineRule="auto"/>
              <w:jc w:val="center"/>
              <w:rPr>
                <w:rFonts w:hint="eastAsia" w:hAnsi="宋体" w:cs="宋体"/>
                <w:color w:val="auto"/>
                <w:highlight w:val="none"/>
              </w:rPr>
            </w:pPr>
          </w:p>
          <w:p w14:paraId="5F986D8C">
            <w:pPr>
              <w:pStyle w:val="12"/>
              <w:adjustRightInd w:val="0"/>
              <w:snapToGrid w:val="0"/>
              <w:spacing w:line="360" w:lineRule="auto"/>
              <w:jc w:val="center"/>
              <w:rPr>
                <w:rFonts w:hint="eastAsia" w:hAnsi="宋体" w:cs="宋体"/>
                <w:color w:val="auto"/>
                <w:highlight w:val="none"/>
              </w:rPr>
            </w:pPr>
          </w:p>
        </w:tc>
      </w:tr>
    </w:tbl>
    <w:p w14:paraId="4933FFDA">
      <w:pPr>
        <w:pStyle w:val="12"/>
        <w:adjustRightInd w:val="0"/>
        <w:snapToGrid w:val="0"/>
        <w:spacing w:line="360" w:lineRule="auto"/>
        <w:jc w:val="left"/>
        <w:rPr>
          <w:rFonts w:hint="eastAsia" w:hAnsi="宋体" w:cs="宋体"/>
          <w:color w:val="auto"/>
          <w:highlight w:val="none"/>
        </w:rPr>
      </w:pPr>
    </w:p>
    <w:p w14:paraId="2640DB31">
      <w:pPr>
        <w:tabs>
          <w:tab w:val="left" w:pos="1230"/>
        </w:tabs>
        <w:topLinePunct/>
        <w:autoSpaceDE w:val="0"/>
        <w:autoSpaceDN w:val="0"/>
        <w:adjustRightInd w:val="0"/>
        <w:snapToGrid w:val="0"/>
        <w:spacing w:line="360" w:lineRule="auto"/>
        <w:ind w:left="363"/>
        <w:rPr>
          <w:rFonts w:hint="eastAsia" w:ascii="宋体" w:hAnsi="宋体" w:cs="宋体"/>
          <w:color w:val="auto"/>
          <w:szCs w:val="21"/>
          <w:highlight w:val="none"/>
        </w:rPr>
      </w:pPr>
      <w:r>
        <w:rPr>
          <w:rFonts w:hint="eastAsia" w:ascii="宋体" w:hAnsi="宋体" w:cs="宋体"/>
          <w:color w:val="auto"/>
          <w:szCs w:val="21"/>
          <w:highlight w:val="none"/>
        </w:rPr>
        <w:t>投标人名称（公章）：________________</w:t>
      </w:r>
    </w:p>
    <w:p w14:paraId="526FB91B">
      <w:pPr>
        <w:tabs>
          <w:tab w:val="left" w:pos="1230"/>
        </w:tabs>
        <w:topLinePunct/>
        <w:autoSpaceDE w:val="0"/>
        <w:autoSpaceDN w:val="0"/>
        <w:adjustRightInd w:val="0"/>
        <w:snapToGrid w:val="0"/>
        <w:spacing w:line="360" w:lineRule="auto"/>
        <w:ind w:left="363"/>
        <w:rPr>
          <w:rFonts w:hint="eastAsia" w:ascii="宋体" w:hAnsi="宋体" w:cs="宋体"/>
          <w:color w:val="auto"/>
          <w:szCs w:val="21"/>
          <w:highlight w:val="none"/>
        </w:rPr>
      </w:pPr>
      <w:r>
        <w:rPr>
          <w:rFonts w:hint="eastAsia" w:ascii="宋体" w:hAnsi="宋体" w:cs="宋体"/>
          <w:color w:val="auto"/>
          <w:szCs w:val="21"/>
          <w:highlight w:val="none"/>
        </w:rPr>
        <w:t>法定代表人（签字或签章）：________________</w:t>
      </w:r>
    </w:p>
    <w:p w14:paraId="767EE607">
      <w:pPr>
        <w:tabs>
          <w:tab w:val="left" w:pos="1230"/>
        </w:tabs>
        <w:topLinePunct/>
        <w:autoSpaceDE w:val="0"/>
        <w:autoSpaceDN w:val="0"/>
        <w:adjustRightInd w:val="0"/>
        <w:snapToGrid w:val="0"/>
        <w:spacing w:line="360" w:lineRule="auto"/>
        <w:ind w:left="363"/>
        <w:rPr>
          <w:rFonts w:hint="eastAsia" w:ascii="宋体" w:hAnsi="宋体" w:cs="宋体"/>
          <w:color w:val="auto"/>
          <w:szCs w:val="21"/>
          <w:highlight w:val="none"/>
        </w:rPr>
      </w:pPr>
      <w:r>
        <w:rPr>
          <w:rFonts w:hint="eastAsia" w:ascii="宋体" w:hAnsi="宋体" w:cs="宋体"/>
          <w:color w:val="auto"/>
          <w:szCs w:val="21"/>
          <w:highlight w:val="none"/>
        </w:rPr>
        <w:t>被授权投标代表（签字）：________________</w:t>
      </w:r>
    </w:p>
    <w:p w14:paraId="52502EA6">
      <w:pPr>
        <w:tabs>
          <w:tab w:val="left" w:pos="1230"/>
        </w:tabs>
        <w:topLinePunct/>
        <w:autoSpaceDE w:val="0"/>
        <w:autoSpaceDN w:val="0"/>
        <w:adjustRightInd w:val="0"/>
        <w:snapToGrid w:val="0"/>
        <w:spacing w:line="360" w:lineRule="auto"/>
        <w:ind w:left="363"/>
        <w:rPr>
          <w:rFonts w:hint="eastAsia" w:ascii="宋体" w:hAnsi="宋体" w:cs="宋体"/>
          <w:color w:val="auto"/>
          <w:szCs w:val="21"/>
          <w:highlight w:val="none"/>
        </w:rPr>
      </w:pPr>
      <w:r>
        <w:rPr>
          <w:rFonts w:hint="eastAsia" w:ascii="宋体" w:hAnsi="宋体" w:cs="宋体"/>
          <w:color w:val="auto"/>
          <w:szCs w:val="21"/>
          <w:highlight w:val="none"/>
        </w:rPr>
        <w:t>被授权投标代表联系电话：____________</w:t>
      </w:r>
    </w:p>
    <w:p w14:paraId="418B71C3">
      <w:pPr>
        <w:tabs>
          <w:tab w:val="left" w:pos="1230"/>
        </w:tabs>
        <w:topLinePunct/>
        <w:autoSpaceDE w:val="0"/>
        <w:autoSpaceDN w:val="0"/>
        <w:adjustRightInd w:val="0"/>
        <w:snapToGrid w:val="0"/>
        <w:spacing w:line="360" w:lineRule="auto"/>
        <w:ind w:left="363"/>
        <w:rPr>
          <w:rFonts w:hint="eastAsia" w:ascii="宋体" w:hAnsi="宋体" w:cs="宋体"/>
          <w:color w:val="auto"/>
          <w:szCs w:val="21"/>
          <w:highlight w:val="none"/>
        </w:rPr>
      </w:pPr>
      <w:r>
        <w:rPr>
          <w:rFonts w:hint="eastAsia" w:ascii="宋体" w:hAnsi="宋体" w:cs="宋体"/>
          <w:color w:val="auto"/>
          <w:szCs w:val="21"/>
          <w:highlight w:val="none"/>
        </w:rPr>
        <w:t>日期：____________</w:t>
      </w:r>
    </w:p>
    <w:p w14:paraId="6BFEBA8E">
      <w:pPr>
        <w:topLinePunct/>
        <w:autoSpaceDE w:val="0"/>
        <w:autoSpaceDN w:val="0"/>
        <w:adjustRightInd w:val="0"/>
        <w:snapToGrid w:val="0"/>
        <w:spacing w:line="360" w:lineRule="auto"/>
        <w:jc w:val="left"/>
        <w:rPr>
          <w:rFonts w:ascii="Times New Roman" w:hAnsi="Times New Roman"/>
          <w:color w:val="auto"/>
          <w:highlight w:val="none"/>
        </w:rPr>
      </w:pPr>
    </w:p>
    <w:p w14:paraId="2432FC13">
      <w:pPr>
        <w:topLinePunct/>
        <w:autoSpaceDE w:val="0"/>
        <w:autoSpaceDN w:val="0"/>
        <w:adjustRightInd w:val="0"/>
        <w:snapToGrid w:val="0"/>
        <w:spacing w:line="360" w:lineRule="auto"/>
        <w:jc w:val="left"/>
        <w:rPr>
          <w:rFonts w:ascii="Times New Roman" w:hAnsi="Times New Roman"/>
          <w:i/>
          <w:iCs/>
          <w:color w:val="auto"/>
          <w:highlight w:val="none"/>
        </w:rPr>
      </w:pPr>
      <w:r>
        <w:rPr>
          <w:rFonts w:ascii="Times New Roman" w:hAnsi="Times New Roman"/>
          <w:color w:val="auto"/>
          <w:highlight w:val="none"/>
        </w:rPr>
        <w:t>特别说明：</w:t>
      </w:r>
    </w:p>
    <w:p w14:paraId="3D54C4C9">
      <w:pPr>
        <w:tabs>
          <w:tab w:val="left" w:pos="312"/>
        </w:tabs>
        <w:topLinePunct/>
        <w:autoSpaceDE w:val="0"/>
        <w:autoSpaceDN w:val="0"/>
        <w:adjustRightInd w:val="0"/>
        <w:snapToGrid w:val="0"/>
        <w:spacing w:line="360" w:lineRule="auto"/>
        <w:ind w:firstLine="420" w:firstLineChars="200"/>
        <w:rPr>
          <w:rFonts w:hint="eastAsia" w:ascii="宋体" w:hAnsi="宋体" w:cs="宋体"/>
          <w:color w:val="auto"/>
          <w:highlight w:val="none"/>
        </w:rPr>
      </w:pPr>
      <w:r>
        <w:rPr>
          <w:rFonts w:ascii="Times New Roman" w:hAnsi="Times New Roman"/>
          <w:color w:val="auto"/>
          <w:highlight w:val="none"/>
        </w:rPr>
        <w:t>1.投标人如由被授权投标代表参与投标活动的，须同时提供《法定代表人授权委托书》和被授权投标代表身份证复印件</w:t>
      </w:r>
      <w:r>
        <w:rPr>
          <w:rFonts w:ascii="Times New Roman" w:hAnsi="Times New Roman"/>
          <w:bCs/>
          <w:color w:val="auto"/>
          <w:szCs w:val="21"/>
          <w:highlight w:val="none"/>
        </w:rPr>
        <w:t>（线上采购项目提供扫描件，下同）</w:t>
      </w:r>
      <w:r>
        <w:rPr>
          <w:rFonts w:ascii="Times New Roman" w:hAnsi="Times New Roman"/>
          <w:color w:val="auto"/>
          <w:highlight w:val="none"/>
        </w:rPr>
        <w:t>。《法定代表人授权委托书》应当按本格式要求加盖与投标人名称全称一致的标准公章，并签署法定代表人或被授权投标代表的全名或加盖名章</w:t>
      </w:r>
      <w:r>
        <w:rPr>
          <w:rFonts w:ascii="Times New Roman" w:hAnsi="Times New Roman"/>
          <w:color w:val="auto"/>
          <w:szCs w:val="21"/>
          <w:highlight w:val="none"/>
        </w:rPr>
        <w:t>。(线上采购项目应上传扫描件)</w:t>
      </w:r>
      <w:r>
        <w:rPr>
          <w:rFonts w:ascii="Times New Roman" w:hAnsi="Times New Roman"/>
          <w:color w:val="auto"/>
          <w:highlight w:val="none"/>
        </w:rPr>
        <w:t>。</w:t>
      </w:r>
    </w:p>
    <w:p w14:paraId="319A9F42">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b/>
          <w:bCs/>
          <w:color w:val="auto"/>
          <w:sz w:val="36"/>
          <w:szCs w:val="36"/>
          <w:highlight w:val="none"/>
        </w:rPr>
        <w:br w:type="page"/>
      </w:r>
      <w:r>
        <w:rPr>
          <w:rFonts w:ascii="Times New Roman" w:hAnsi="Times New Roman"/>
          <w:b/>
          <w:bCs/>
          <w:color w:val="auto"/>
          <w:sz w:val="28"/>
          <w:szCs w:val="28"/>
          <w:highlight w:val="none"/>
        </w:rPr>
        <w:t>1-2法定代表人身份证明复印件</w:t>
      </w:r>
    </w:p>
    <w:p w14:paraId="18EF666D">
      <w:pPr>
        <w:adjustRightInd w:val="0"/>
        <w:snapToGrid w:val="0"/>
        <w:spacing w:line="360" w:lineRule="auto"/>
        <w:jc w:val="center"/>
        <w:rPr>
          <w:rFonts w:hint="eastAsia" w:ascii="宋体" w:hAnsi="宋体" w:cs="宋体"/>
          <w:color w:val="auto"/>
          <w:szCs w:val="21"/>
          <w:highlight w:val="none"/>
        </w:rPr>
      </w:pPr>
      <w:r>
        <w:rPr>
          <w:rFonts w:ascii="宋体" w:hAnsi="宋体" w:cs="宋体"/>
          <w:color w:val="auto"/>
          <w:szCs w:val="21"/>
          <w:highlight w:val="none"/>
        </w:rPr>
        <w:t>(适用于法定代表人参加投标)</w:t>
      </w:r>
    </w:p>
    <w:p w14:paraId="28D8811F">
      <w:pPr>
        <w:topLinePunct/>
        <w:autoSpaceDE w:val="0"/>
        <w:autoSpaceDN w:val="0"/>
        <w:adjustRightInd w:val="0"/>
        <w:snapToGrid w:val="0"/>
        <w:spacing w:line="360" w:lineRule="auto"/>
        <w:ind w:firstLine="420" w:firstLineChars="200"/>
        <w:rPr>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29DE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74B039A2">
            <w:pPr>
              <w:pStyle w:val="12"/>
              <w:adjustRightInd w:val="0"/>
              <w:snapToGrid w:val="0"/>
              <w:spacing w:line="360" w:lineRule="auto"/>
              <w:jc w:val="center"/>
              <w:rPr>
                <w:rFonts w:hint="eastAsia" w:hAnsi="宋体" w:cs="宋体"/>
                <w:color w:val="auto"/>
                <w:highlight w:val="none"/>
              </w:rPr>
            </w:pPr>
          </w:p>
          <w:p w14:paraId="6D2FD611">
            <w:pPr>
              <w:pStyle w:val="12"/>
              <w:adjustRightInd w:val="0"/>
              <w:snapToGrid w:val="0"/>
              <w:spacing w:line="360" w:lineRule="auto"/>
              <w:jc w:val="center"/>
              <w:rPr>
                <w:rFonts w:hint="eastAsia" w:hAnsi="宋体" w:cs="宋体"/>
                <w:color w:val="auto"/>
                <w:highlight w:val="none"/>
              </w:rPr>
            </w:pPr>
          </w:p>
          <w:p w14:paraId="7D36622E">
            <w:pPr>
              <w:pStyle w:val="12"/>
              <w:adjustRightInd w:val="0"/>
              <w:snapToGrid w:val="0"/>
              <w:spacing w:line="360" w:lineRule="auto"/>
              <w:jc w:val="center"/>
              <w:rPr>
                <w:rFonts w:hint="eastAsia" w:hAnsi="宋体" w:cs="宋体"/>
                <w:color w:val="auto"/>
                <w:highlight w:val="none"/>
              </w:rPr>
            </w:pPr>
          </w:p>
          <w:p w14:paraId="12AC4354">
            <w:pPr>
              <w:pStyle w:val="12"/>
              <w:adjustRightInd w:val="0"/>
              <w:snapToGrid w:val="0"/>
              <w:spacing w:line="360" w:lineRule="auto"/>
              <w:jc w:val="center"/>
              <w:rPr>
                <w:rFonts w:hint="eastAsia" w:hAnsi="宋体" w:cs="宋体"/>
                <w:color w:val="auto"/>
                <w:highlight w:val="none"/>
              </w:rPr>
            </w:pPr>
          </w:p>
          <w:p w14:paraId="44318855">
            <w:pPr>
              <w:pStyle w:val="12"/>
              <w:adjustRightInd w:val="0"/>
              <w:snapToGrid w:val="0"/>
              <w:spacing w:line="360" w:lineRule="auto"/>
              <w:jc w:val="center"/>
              <w:rPr>
                <w:rFonts w:hint="eastAsia" w:hAnsi="宋体" w:cs="宋体"/>
                <w:color w:val="auto"/>
                <w:highlight w:val="none"/>
              </w:rPr>
            </w:pPr>
            <w:r>
              <w:rPr>
                <w:rFonts w:hAnsi="宋体" w:cs="宋体"/>
                <w:color w:val="auto"/>
                <w:highlight w:val="none"/>
              </w:rPr>
              <w:t>法定代表人身份证明复印件</w:t>
            </w:r>
          </w:p>
          <w:p w14:paraId="2E8F517D">
            <w:pPr>
              <w:pStyle w:val="12"/>
              <w:adjustRightInd w:val="0"/>
              <w:snapToGrid w:val="0"/>
              <w:spacing w:line="360" w:lineRule="auto"/>
              <w:jc w:val="center"/>
              <w:rPr>
                <w:rFonts w:hint="eastAsia" w:hAnsi="宋体" w:cs="宋体"/>
                <w:color w:val="auto"/>
                <w:highlight w:val="none"/>
              </w:rPr>
            </w:pPr>
          </w:p>
          <w:p w14:paraId="0C7B9136">
            <w:pPr>
              <w:pStyle w:val="12"/>
              <w:adjustRightInd w:val="0"/>
              <w:snapToGrid w:val="0"/>
              <w:spacing w:line="360" w:lineRule="auto"/>
              <w:jc w:val="center"/>
              <w:rPr>
                <w:rFonts w:hint="eastAsia" w:hAnsi="宋体" w:cs="宋体"/>
                <w:color w:val="auto"/>
                <w:highlight w:val="none"/>
              </w:rPr>
            </w:pPr>
          </w:p>
          <w:p w14:paraId="0167F627">
            <w:pPr>
              <w:pStyle w:val="12"/>
              <w:adjustRightInd w:val="0"/>
              <w:snapToGrid w:val="0"/>
              <w:spacing w:line="360" w:lineRule="auto"/>
              <w:jc w:val="center"/>
              <w:rPr>
                <w:rFonts w:hint="eastAsia" w:hAnsi="宋体" w:cs="宋体"/>
                <w:color w:val="auto"/>
                <w:highlight w:val="none"/>
              </w:rPr>
            </w:pPr>
          </w:p>
          <w:p w14:paraId="595A9E2C">
            <w:pPr>
              <w:pStyle w:val="12"/>
              <w:adjustRightInd w:val="0"/>
              <w:snapToGrid w:val="0"/>
              <w:spacing w:line="360" w:lineRule="auto"/>
              <w:jc w:val="center"/>
              <w:rPr>
                <w:rFonts w:hint="eastAsia" w:hAnsi="宋体" w:cs="宋体"/>
                <w:color w:val="auto"/>
                <w:highlight w:val="none"/>
              </w:rPr>
            </w:pPr>
          </w:p>
        </w:tc>
      </w:tr>
    </w:tbl>
    <w:p w14:paraId="31C77FF5">
      <w:pPr>
        <w:topLinePunct/>
        <w:autoSpaceDE w:val="0"/>
        <w:autoSpaceDN w:val="0"/>
        <w:adjustRightInd w:val="0"/>
        <w:snapToGrid w:val="0"/>
        <w:spacing w:line="360" w:lineRule="auto"/>
        <w:jc w:val="left"/>
        <w:rPr>
          <w:rFonts w:eastAsia="仿宋_GB2312"/>
          <w:color w:val="auto"/>
          <w:highlight w:val="none"/>
        </w:rPr>
      </w:pPr>
    </w:p>
    <w:p w14:paraId="79C63140">
      <w:pPr>
        <w:topLinePunct/>
        <w:autoSpaceDE w:val="0"/>
        <w:autoSpaceDN w:val="0"/>
        <w:adjustRightInd w:val="0"/>
        <w:snapToGrid w:val="0"/>
        <w:spacing w:line="360" w:lineRule="auto"/>
        <w:jc w:val="left"/>
        <w:rPr>
          <w:rFonts w:hint="eastAsia" w:ascii="宋体" w:hAnsi="宋体" w:cs="宋体"/>
          <w:i/>
          <w:iCs/>
          <w:color w:val="auto"/>
          <w:highlight w:val="none"/>
        </w:rPr>
      </w:pPr>
      <w:r>
        <w:rPr>
          <w:rFonts w:hint="eastAsia" w:ascii="宋体" w:hAnsi="宋体" w:cs="宋体"/>
          <w:color w:val="auto"/>
          <w:highlight w:val="none"/>
        </w:rPr>
        <w:t>特别说明：</w:t>
      </w:r>
    </w:p>
    <w:p w14:paraId="576BB5C5">
      <w:pPr>
        <w:tabs>
          <w:tab w:val="left" w:pos="312"/>
        </w:tabs>
        <w:topLinePunct/>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r>
        <w:rPr>
          <w:rFonts w:hint="eastAsia" w:ascii="宋体" w:hAnsi="宋体" w:cs="宋体"/>
          <w:bCs/>
          <w:color w:val="auto"/>
          <w:szCs w:val="21"/>
          <w:highlight w:val="none"/>
        </w:rPr>
        <w:t>（线上采购项目提供扫描件，下同）</w:t>
      </w:r>
      <w:r>
        <w:rPr>
          <w:rFonts w:hint="eastAsia" w:ascii="宋体" w:hAnsi="宋体" w:cs="宋体"/>
          <w:color w:val="auto"/>
          <w:highlight w:val="none"/>
        </w:rPr>
        <w:t>。</w:t>
      </w:r>
    </w:p>
    <w:p w14:paraId="758FF0F6">
      <w:pPr>
        <w:pStyle w:val="12"/>
        <w:ind w:firstLine="420" w:firstLineChars="200"/>
        <w:rPr>
          <w:rFonts w:ascii="Times New Roman" w:hAnsi="Times New Roman" w:eastAsia="仿宋_GB2312"/>
          <w:color w:val="auto"/>
          <w:highlight w:val="none"/>
        </w:rPr>
      </w:pPr>
    </w:p>
    <w:p w14:paraId="0D0836D0">
      <w:pPr>
        <w:widowControl/>
        <w:jc w:val="left"/>
        <w:rPr>
          <w:rFonts w:hint="eastAsia" w:ascii="宋体" w:hAnsi="宋体" w:cs="宋体"/>
          <w:b/>
          <w:bCs/>
          <w:color w:val="auto"/>
          <w:sz w:val="36"/>
          <w:szCs w:val="36"/>
          <w:highlight w:val="none"/>
        </w:rPr>
      </w:pPr>
      <w:r>
        <w:rPr>
          <w:rFonts w:ascii="宋体" w:hAnsi="宋体" w:cs="宋体"/>
          <w:b/>
          <w:bCs/>
          <w:color w:val="auto"/>
          <w:sz w:val="36"/>
          <w:szCs w:val="36"/>
          <w:highlight w:val="none"/>
        </w:rPr>
        <w:br w:type="page"/>
      </w:r>
    </w:p>
    <w:p w14:paraId="41C24E83">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1-3自然人授权委托书</w:t>
      </w:r>
    </w:p>
    <w:p w14:paraId="312428EE">
      <w:pPr>
        <w:adjustRightInd w:val="0"/>
        <w:snapToGrid w:val="0"/>
        <w:spacing w:line="360" w:lineRule="auto"/>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适用于自然人投标</w:t>
      </w:r>
      <w:r>
        <w:rPr>
          <w:rFonts w:ascii="宋体" w:hAnsi="宋体" w:cs="宋体"/>
          <w:color w:val="auto"/>
          <w:szCs w:val="21"/>
          <w:highlight w:val="none"/>
        </w:rPr>
        <w:t>)</w:t>
      </w:r>
    </w:p>
    <w:p w14:paraId="55D99949">
      <w:pPr>
        <w:pStyle w:val="12"/>
        <w:rPr>
          <w:rFonts w:ascii="Times New Roman" w:hAnsi="Times New Roman" w:eastAsia="仿宋_GB2312"/>
          <w:color w:val="auto"/>
          <w:highlight w:val="none"/>
        </w:rPr>
      </w:pPr>
    </w:p>
    <w:p w14:paraId="30FF81C9">
      <w:pPr>
        <w:spacing w:line="360" w:lineRule="auto"/>
        <w:rPr>
          <w:color w:val="auto"/>
          <w:highlight w:val="none"/>
        </w:rPr>
      </w:pPr>
      <w:r>
        <w:rPr>
          <w:color w:val="auto"/>
          <w:highlight w:val="none"/>
        </w:rPr>
        <w:t>致____________(采购人或采购代理机构)：</w:t>
      </w:r>
    </w:p>
    <w:p w14:paraId="45987C69">
      <w:pPr>
        <w:spacing w:line="360" w:lineRule="auto"/>
        <w:ind w:firstLine="420" w:firstLineChars="200"/>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14:paraId="08CD9F39">
      <w:pPr>
        <w:spacing w:line="360" w:lineRule="auto"/>
        <w:ind w:firstLine="420" w:firstLineChars="200"/>
        <w:rPr>
          <w:color w:val="auto"/>
          <w:highlight w:val="none"/>
        </w:rPr>
      </w:pPr>
      <w:r>
        <w:rPr>
          <w:rFonts w:hint="eastAsia"/>
          <w:color w:val="auto"/>
          <w:highlight w:val="none"/>
        </w:rPr>
        <w:t>本人对被授权人的签字事项负全部责任。</w:t>
      </w:r>
    </w:p>
    <w:p w14:paraId="76615A9C">
      <w:pPr>
        <w:spacing w:line="360" w:lineRule="auto"/>
        <w:ind w:firstLine="420" w:firstLineChars="200"/>
        <w:rPr>
          <w:color w:val="auto"/>
          <w:highlight w:val="none"/>
        </w:rPr>
      </w:pPr>
      <w:r>
        <w:rPr>
          <w:rFonts w:hint="eastAsia"/>
          <w:color w:val="auto"/>
          <w:highlight w:val="none"/>
        </w:rPr>
        <w:t>授权委托代理期限：从　　年　　月　　日起至　　年　　月　　日止。</w:t>
      </w:r>
    </w:p>
    <w:p w14:paraId="79517230">
      <w:pPr>
        <w:spacing w:line="360" w:lineRule="auto"/>
        <w:ind w:firstLine="420" w:firstLineChars="200"/>
        <w:rPr>
          <w:color w:val="auto"/>
          <w:highlight w:val="none"/>
        </w:rPr>
      </w:pPr>
    </w:p>
    <w:p w14:paraId="4B6BE9EB">
      <w:pPr>
        <w:spacing w:line="360" w:lineRule="auto"/>
        <w:ind w:firstLine="420" w:firstLineChars="200"/>
        <w:rPr>
          <w:color w:val="auto"/>
          <w:highlight w:val="none"/>
        </w:rPr>
      </w:pPr>
      <w:r>
        <w:rPr>
          <w:rFonts w:hint="eastAsia"/>
          <w:color w:val="auto"/>
          <w:highlight w:val="none"/>
        </w:rPr>
        <w:t>代理人无转委托权，特此委托。</w:t>
      </w:r>
    </w:p>
    <w:p w14:paraId="46C9800D">
      <w:pPr>
        <w:spacing w:line="360" w:lineRule="auto"/>
        <w:ind w:firstLine="420" w:firstLineChars="200"/>
        <w:rPr>
          <w:color w:val="auto"/>
          <w:highlight w:val="none"/>
        </w:rPr>
      </w:pPr>
    </w:p>
    <w:p w14:paraId="726E76AB">
      <w:pPr>
        <w:spacing w:line="360" w:lineRule="auto"/>
        <w:ind w:firstLine="420" w:firstLineChars="200"/>
        <w:rPr>
          <w:color w:val="auto"/>
          <w:highlight w:val="none"/>
        </w:rPr>
      </w:pPr>
      <w:r>
        <w:rPr>
          <w:rFonts w:hint="eastAsia"/>
          <w:color w:val="auto"/>
          <w:highlight w:val="none"/>
        </w:rPr>
        <w:t>我已在下面签字，以资证明。</w:t>
      </w:r>
    </w:p>
    <w:p w14:paraId="34725DB8">
      <w:pPr>
        <w:spacing w:line="360" w:lineRule="auto"/>
        <w:ind w:firstLine="420" w:firstLineChars="200"/>
        <w:rPr>
          <w:color w:val="auto"/>
          <w:highlight w:val="none"/>
        </w:rPr>
      </w:pPr>
    </w:p>
    <w:p w14:paraId="13FD9F2A">
      <w:pPr>
        <w:spacing w:line="360" w:lineRule="auto"/>
        <w:ind w:firstLine="420" w:firstLineChars="200"/>
        <w:rPr>
          <w:color w:val="auto"/>
          <w:highlight w:val="none"/>
        </w:rPr>
      </w:pPr>
      <w:r>
        <w:rPr>
          <w:rFonts w:hint="eastAsia"/>
          <w:color w:val="auto"/>
          <w:highlight w:val="none"/>
        </w:rPr>
        <w:t>自然人签字并在签名处加盖食指指印：　　　　年　　月　　日</w:t>
      </w:r>
    </w:p>
    <w:p w14:paraId="491C2F6F">
      <w:pPr>
        <w:pStyle w:val="12"/>
        <w:spacing w:line="360" w:lineRule="auto"/>
        <w:ind w:firstLine="480" w:firstLineChars="200"/>
        <w:rPr>
          <w:rFonts w:hint="eastAsia" w:hAnsi="宋体"/>
          <w:color w:val="auto"/>
          <w:sz w:val="24"/>
          <w:szCs w:val="24"/>
          <w:highlight w:val="none"/>
        </w:rPr>
      </w:pPr>
    </w:p>
    <w:p w14:paraId="3D71D7F1">
      <w:pPr>
        <w:topLinePunct/>
        <w:autoSpaceDE w:val="0"/>
        <w:autoSpaceDN w:val="0"/>
        <w:adjustRightInd w:val="0"/>
        <w:snapToGrid w:val="0"/>
        <w:spacing w:line="360" w:lineRule="auto"/>
        <w:jc w:val="left"/>
        <w:rPr>
          <w:rFonts w:hint="eastAsia" w:ascii="宋体" w:hAnsi="宋体" w:cs="宋体"/>
          <w:color w:val="auto"/>
          <w:highlight w:val="none"/>
        </w:rPr>
      </w:pPr>
    </w:p>
    <w:p w14:paraId="60D75DA0">
      <w:pPr>
        <w:topLinePunct/>
        <w:autoSpaceDE w:val="0"/>
        <w:autoSpaceDN w:val="0"/>
        <w:adjustRightInd w:val="0"/>
        <w:snapToGrid w:val="0"/>
        <w:spacing w:line="360" w:lineRule="auto"/>
        <w:jc w:val="left"/>
        <w:rPr>
          <w:rFonts w:hint="eastAsia" w:ascii="宋体" w:hAnsi="宋体" w:cs="宋体"/>
          <w:i/>
          <w:iCs/>
          <w:color w:val="auto"/>
          <w:highlight w:val="none"/>
        </w:rPr>
      </w:pPr>
      <w:r>
        <w:rPr>
          <w:rFonts w:hint="eastAsia" w:ascii="宋体" w:hAnsi="宋体" w:cs="宋体"/>
          <w:color w:val="auto"/>
          <w:highlight w:val="none"/>
        </w:rPr>
        <w:t>特别说明：</w:t>
      </w:r>
    </w:p>
    <w:p w14:paraId="6B660420">
      <w:pPr>
        <w:tabs>
          <w:tab w:val="left" w:pos="312"/>
        </w:tabs>
        <w:topLinePunct/>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14:paraId="4139562F">
      <w:pPr>
        <w:pStyle w:val="12"/>
        <w:spacing w:line="360" w:lineRule="auto"/>
        <w:ind w:firstLine="480" w:firstLineChars="200"/>
        <w:rPr>
          <w:rFonts w:hint="eastAsia" w:hAnsi="宋体"/>
          <w:color w:val="auto"/>
          <w:sz w:val="24"/>
          <w:szCs w:val="24"/>
          <w:highlight w:val="none"/>
        </w:rPr>
      </w:pPr>
    </w:p>
    <w:p w14:paraId="3C6C2A99">
      <w:pPr>
        <w:pStyle w:val="12"/>
        <w:ind w:firstLine="420" w:firstLineChars="200"/>
        <w:rPr>
          <w:rFonts w:hint="eastAsia" w:hAnsi="宋体" w:cs="宋体"/>
          <w:b/>
          <w:bCs/>
          <w:color w:val="auto"/>
          <w:sz w:val="36"/>
          <w:szCs w:val="36"/>
          <w:highlight w:val="none"/>
        </w:rPr>
      </w:pPr>
      <w:r>
        <w:rPr>
          <w:rFonts w:ascii="Times New Roman" w:hAnsi="Times New Roman" w:eastAsia="仿宋_GB2312"/>
          <w:color w:val="auto"/>
          <w:highlight w:val="none"/>
        </w:rPr>
        <w:br w:type="page"/>
      </w:r>
    </w:p>
    <w:p w14:paraId="0371D201">
      <w:pPr>
        <w:adjustRightInd w:val="0"/>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14:paraId="3F5D8FBB">
      <w:pPr>
        <w:spacing w:line="360" w:lineRule="auto"/>
        <w:rPr>
          <w:color w:val="auto"/>
          <w:highlight w:val="none"/>
        </w:rPr>
      </w:pPr>
      <w:r>
        <w:rPr>
          <w:rFonts w:hint="eastAsia"/>
          <w:color w:val="auto"/>
          <w:highlight w:val="none"/>
        </w:rPr>
        <w:t>致________（采购人或采购代理机构）：</w:t>
      </w:r>
    </w:p>
    <w:p w14:paraId="2408B206">
      <w:pPr>
        <w:spacing w:line="360" w:lineRule="auto"/>
        <w:ind w:firstLine="420" w:firstLineChars="200"/>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14:paraId="0A232EA7">
      <w:pPr>
        <w:spacing w:line="360" w:lineRule="auto"/>
        <w:ind w:firstLine="420" w:firstLineChars="200"/>
        <w:rPr>
          <w:color w:val="auto"/>
          <w:highlight w:val="none"/>
        </w:rPr>
      </w:pPr>
      <w:r>
        <w:rPr>
          <w:rFonts w:hint="eastAsia"/>
          <w:color w:val="auto"/>
          <w:highlight w:val="none"/>
        </w:rPr>
        <w:t>1.同意在本项目招标文件中规定的开标日起    天遵守本投标文件中的承诺，且在期满之前均具有约束力。</w:t>
      </w:r>
    </w:p>
    <w:p w14:paraId="53FAD349">
      <w:pPr>
        <w:spacing w:line="360" w:lineRule="auto"/>
        <w:ind w:firstLine="420" w:firstLineChars="200"/>
        <w:rPr>
          <w:color w:val="auto"/>
          <w:highlight w:val="none"/>
        </w:rPr>
      </w:pPr>
      <w:r>
        <w:rPr>
          <w:rFonts w:hint="eastAsia"/>
          <w:color w:val="auto"/>
          <w:highlight w:val="none"/>
        </w:rPr>
        <w:t>2.具备政府采购相关法律法规规定的参加政府采购活动的供应商应当具备的条件：</w:t>
      </w:r>
    </w:p>
    <w:p w14:paraId="49BD5B96">
      <w:pPr>
        <w:spacing w:line="360" w:lineRule="auto"/>
        <w:ind w:firstLine="420" w:firstLineChars="200"/>
        <w:rPr>
          <w:color w:val="auto"/>
          <w:highlight w:val="none"/>
        </w:rPr>
      </w:pPr>
      <w:r>
        <w:rPr>
          <w:rFonts w:hint="eastAsia"/>
          <w:color w:val="auto"/>
          <w:highlight w:val="none"/>
        </w:rPr>
        <w:t>（1）具有独立承担民事责任的能力；</w:t>
      </w:r>
    </w:p>
    <w:p w14:paraId="68B204FE">
      <w:pPr>
        <w:spacing w:line="360" w:lineRule="auto"/>
        <w:ind w:firstLine="420" w:firstLineChars="200"/>
        <w:rPr>
          <w:color w:val="auto"/>
          <w:highlight w:val="none"/>
        </w:rPr>
      </w:pPr>
      <w:r>
        <w:rPr>
          <w:rFonts w:hint="eastAsia"/>
          <w:color w:val="auto"/>
          <w:highlight w:val="none"/>
        </w:rPr>
        <w:t>（2）具有良好的商业信誉和健全的财务会计制度；</w:t>
      </w:r>
    </w:p>
    <w:p w14:paraId="592A6D44">
      <w:pPr>
        <w:spacing w:line="360" w:lineRule="auto"/>
        <w:ind w:firstLine="420" w:firstLineChars="200"/>
        <w:rPr>
          <w:color w:val="auto"/>
          <w:highlight w:val="none"/>
        </w:rPr>
      </w:pPr>
      <w:r>
        <w:rPr>
          <w:rFonts w:hint="eastAsia"/>
          <w:color w:val="auto"/>
          <w:highlight w:val="none"/>
        </w:rPr>
        <w:t>（3）具有履行合同所必需的设备和专业技术能力；</w:t>
      </w:r>
    </w:p>
    <w:p w14:paraId="47878328">
      <w:pPr>
        <w:spacing w:line="360" w:lineRule="auto"/>
        <w:ind w:firstLine="420" w:firstLineChars="200"/>
        <w:rPr>
          <w:color w:val="auto"/>
          <w:highlight w:val="none"/>
        </w:rPr>
      </w:pPr>
      <w:r>
        <w:rPr>
          <w:rFonts w:hint="eastAsia"/>
          <w:color w:val="auto"/>
          <w:highlight w:val="none"/>
        </w:rPr>
        <w:t>（4）有依法缴纳税收和社会保障资金的良好记录；</w:t>
      </w:r>
    </w:p>
    <w:p w14:paraId="3AA5F673">
      <w:pPr>
        <w:spacing w:line="360" w:lineRule="auto"/>
        <w:ind w:firstLine="420" w:firstLineChars="200"/>
        <w:rPr>
          <w:color w:val="auto"/>
          <w:highlight w:val="none"/>
        </w:rPr>
      </w:pPr>
      <w:r>
        <w:rPr>
          <w:rFonts w:hint="eastAsia"/>
          <w:color w:val="auto"/>
          <w:highlight w:val="none"/>
        </w:rPr>
        <w:t>（5）参加此项采购活动前三年内，在经营活动中没有重大违法记录。</w:t>
      </w:r>
    </w:p>
    <w:p w14:paraId="4A592CDA">
      <w:pPr>
        <w:spacing w:line="360" w:lineRule="auto"/>
        <w:ind w:firstLine="420" w:firstLineChars="200"/>
        <w:rPr>
          <w:color w:val="auto"/>
          <w:highlight w:val="none"/>
        </w:rPr>
      </w:pPr>
      <w:r>
        <w:rPr>
          <w:rFonts w:hint="eastAsia"/>
          <w:color w:val="auto"/>
          <w:highlight w:val="none"/>
        </w:rPr>
        <w:t xml:space="preserve">（6）法律、行政法规规定的其他条件。 </w:t>
      </w:r>
    </w:p>
    <w:p w14:paraId="04655CA5">
      <w:pPr>
        <w:spacing w:line="360" w:lineRule="auto"/>
        <w:ind w:firstLine="420" w:firstLineChars="200"/>
        <w:rPr>
          <w:color w:val="auto"/>
          <w:highlight w:val="none"/>
        </w:rPr>
      </w:pPr>
      <w:r>
        <w:rPr>
          <w:rFonts w:hint="eastAsia"/>
          <w:color w:val="auto"/>
          <w:highlight w:val="none"/>
        </w:rPr>
        <w:t>3.具备本项目招标文件中规定的其他要求和资质条件。</w:t>
      </w:r>
    </w:p>
    <w:p w14:paraId="557595D3">
      <w:pPr>
        <w:spacing w:line="360" w:lineRule="auto"/>
        <w:ind w:firstLine="420" w:firstLineChars="200"/>
        <w:rPr>
          <w:color w:val="auto"/>
          <w:highlight w:val="none"/>
        </w:rPr>
      </w:pPr>
      <w:r>
        <w:rPr>
          <w:rFonts w:hint="eastAsia"/>
          <w:color w:val="auto"/>
          <w:highlight w:val="none"/>
        </w:rPr>
        <w:t>4.提供投标人须知规定的全部投标文件。</w:t>
      </w:r>
    </w:p>
    <w:p w14:paraId="7A1799BD">
      <w:pPr>
        <w:spacing w:line="360" w:lineRule="auto"/>
        <w:ind w:firstLine="420" w:firstLineChars="200"/>
        <w:rPr>
          <w:color w:val="auto"/>
          <w:highlight w:val="none"/>
        </w:rPr>
      </w:pPr>
      <w:r>
        <w:rPr>
          <w:rFonts w:hint="eastAsia"/>
          <w:color w:val="auto"/>
          <w:highlight w:val="none"/>
        </w:rPr>
        <w:t>5.已详细审阅全部招标文件（包括招标文件澄清函），理解投标人须知的所有条款。</w:t>
      </w:r>
    </w:p>
    <w:p w14:paraId="28D77A93">
      <w:pPr>
        <w:spacing w:line="360" w:lineRule="auto"/>
        <w:ind w:firstLine="420" w:firstLineChars="200"/>
        <w:rPr>
          <w:color w:val="auto"/>
          <w:highlight w:val="none"/>
        </w:rPr>
      </w:pPr>
      <w:r>
        <w:rPr>
          <w:rFonts w:hint="eastAsia"/>
          <w:color w:val="auto"/>
          <w:highlight w:val="none"/>
        </w:rPr>
        <w:t>6.完全理解贵方“最低报价不能作为中标的保证”的规定。</w:t>
      </w:r>
    </w:p>
    <w:p w14:paraId="1FA03D1C">
      <w:pPr>
        <w:spacing w:line="360" w:lineRule="auto"/>
        <w:ind w:firstLine="420" w:firstLineChars="200"/>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14:paraId="06D2801B">
      <w:pPr>
        <w:spacing w:line="360" w:lineRule="auto"/>
        <w:ind w:firstLine="420" w:firstLineChars="200"/>
        <w:rPr>
          <w:color w:val="auto"/>
          <w:highlight w:val="none"/>
        </w:rPr>
      </w:pPr>
      <w:r>
        <w:rPr>
          <w:rFonts w:hint="eastAsia"/>
          <w:color w:val="auto"/>
          <w:highlight w:val="none"/>
        </w:rPr>
        <w:t>8.完全满足和响应招标文件中的各项商务和技术要求，若有偏差，已在投标文件中明确说明。</w:t>
      </w:r>
    </w:p>
    <w:p w14:paraId="19DC68A1">
      <w:pPr>
        <w:spacing w:line="360" w:lineRule="auto"/>
        <w:ind w:firstLine="420" w:firstLineChars="200"/>
        <w:rPr>
          <w:color w:val="auto"/>
          <w:highlight w:val="none"/>
        </w:rPr>
      </w:pPr>
      <w:r>
        <w:rPr>
          <w:rFonts w:hint="eastAsia"/>
          <w:color w:val="auto"/>
          <w:highlight w:val="none"/>
        </w:rPr>
        <w:t>9.愿意提供任何与投标有关的数据、情况和技术资料等。若贵方需要，愿意提供一切证明材料。</w:t>
      </w:r>
    </w:p>
    <w:p w14:paraId="2F428ED3">
      <w:pPr>
        <w:spacing w:line="360" w:lineRule="auto"/>
        <w:ind w:firstLine="420" w:firstLineChars="200"/>
        <w:rPr>
          <w:color w:val="auto"/>
          <w:highlight w:val="none"/>
        </w:rPr>
      </w:pPr>
      <w:r>
        <w:rPr>
          <w:rFonts w:hint="eastAsia"/>
          <w:color w:val="auto"/>
          <w:highlight w:val="none"/>
        </w:rPr>
        <w:t>10.我方已详细审核全部投标文件、参考资料及有关附件，确认无误。</w:t>
      </w:r>
    </w:p>
    <w:p w14:paraId="4F913BDC">
      <w:pPr>
        <w:spacing w:line="360" w:lineRule="auto"/>
        <w:ind w:firstLine="420" w:firstLineChars="200"/>
        <w:rPr>
          <w:color w:val="auto"/>
          <w:highlight w:val="none"/>
        </w:rPr>
      </w:pPr>
      <w:r>
        <w:rPr>
          <w:rFonts w:hint="eastAsia"/>
          <w:color w:val="auto"/>
          <w:highlight w:val="none"/>
        </w:rPr>
        <w:t>11.对本次招标内容及与本项目有关的知识产权、技术资料、商业秘密及相关信息保密。</w:t>
      </w:r>
    </w:p>
    <w:p w14:paraId="0D8E152C">
      <w:pPr>
        <w:spacing w:line="360" w:lineRule="auto"/>
        <w:ind w:firstLine="420" w:firstLineChars="200"/>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1289AD27">
      <w:pPr>
        <w:spacing w:line="360" w:lineRule="auto"/>
        <w:ind w:firstLine="420" w:firstLineChars="200"/>
        <w:rPr>
          <w:color w:val="auto"/>
          <w:highlight w:val="none"/>
        </w:rPr>
      </w:pPr>
    </w:p>
    <w:p w14:paraId="554CFED8">
      <w:pPr>
        <w:spacing w:line="360" w:lineRule="auto"/>
        <w:ind w:firstLine="420" w:firstLineChars="200"/>
        <w:rPr>
          <w:color w:val="auto"/>
          <w:highlight w:val="none"/>
        </w:rPr>
      </w:pPr>
    </w:p>
    <w:p w14:paraId="1E437ED3">
      <w:pPr>
        <w:spacing w:line="360" w:lineRule="auto"/>
        <w:ind w:firstLine="420" w:firstLineChars="200"/>
        <w:rPr>
          <w:color w:val="auto"/>
          <w:highlight w:val="none"/>
        </w:rPr>
      </w:pPr>
    </w:p>
    <w:p w14:paraId="1E0988AC">
      <w:pPr>
        <w:spacing w:line="360" w:lineRule="auto"/>
        <w:ind w:firstLine="420" w:firstLineChars="200"/>
        <w:rPr>
          <w:color w:val="auto"/>
          <w:highlight w:val="none"/>
        </w:rPr>
      </w:pPr>
      <w:r>
        <w:rPr>
          <w:rFonts w:hint="eastAsia"/>
          <w:color w:val="auto"/>
          <w:highlight w:val="none"/>
        </w:rPr>
        <w:t>投标人名称（公章）：____________</w:t>
      </w:r>
    </w:p>
    <w:p w14:paraId="6F524389">
      <w:pPr>
        <w:spacing w:line="360" w:lineRule="auto"/>
        <w:ind w:firstLine="420" w:firstLineChars="200"/>
        <w:rPr>
          <w:color w:val="auto"/>
          <w:highlight w:val="none"/>
        </w:rPr>
      </w:pPr>
      <w:r>
        <w:rPr>
          <w:rFonts w:hint="eastAsia"/>
          <w:color w:val="auto"/>
          <w:highlight w:val="none"/>
        </w:rPr>
        <w:t>法定代表人（签字或签章）/被授权投标代表（签字）：____________</w:t>
      </w:r>
    </w:p>
    <w:p w14:paraId="5922786E">
      <w:pPr>
        <w:spacing w:line="360" w:lineRule="auto"/>
        <w:ind w:firstLine="420" w:firstLineChars="200"/>
        <w:rPr>
          <w:color w:val="auto"/>
          <w:highlight w:val="none"/>
        </w:rPr>
      </w:pPr>
      <w:r>
        <w:rPr>
          <w:rFonts w:hint="eastAsia"/>
          <w:color w:val="auto"/>
          <w:highlight w:val="none"/>
        </w:rPr>
        <w:t>投标人地址：____________</w:t>
      </w:r>
    </w:p>
    <w:p w14:paraId="0CAE2C7D">
      <w:pPr>
        <w:spacing w:line="360" w:lineRule="auto"/>
        <w:ind w:firstLine="420" w:firstLineChars="200"/>
        <w:rPr>
          <w:color w:val="auto"/>
          <w:highlight w:val="none"/>
        </w:rPr>
      </w:pPr>
      <w:r>
        <w:rPr>
          <w:rFonts w:hint="eastAsia"/>
          <w:color w:val="auto"/>
          <w:highlight w:val="none"/>
        </w:rPr>
        <w:t>邮编：____________</w:t>
      </w:r>
    </w:p>
    <w:p w14:paraId="564227C1">
      <w:pPr>
        <w:spacing w:line="360" w:lineRule="auto"/>
        <w:ind w:firstLine="420" w:firstLineChars="200"/>
        <w:rPr>
          <w:color w:val="auto"/>
          <w:highlight w:val="none"/>
        </w:rPr>
      </w:pPr>
      <w:r>
        <w:rPr>
          <w:rFonts w:hint="eastAsia"/>
          <w:color w:val="auto"/>
          <w:highlight w:val="none"/>
        </w:rPr>
        <w:t>电话：____________</w:t>
      </w:r>
    </w:p>
    <w:p w14:paraId="76DFBBA1">
      <w:pPr>
        <w:spacing w:line="360" w:lineRule="auto"/>
        <w:ind w:firstLine="420" w:firstLineChars="200"/>
        <w:rPr>
          <w:color w:val="auto"/>
          <w:highlight w:val="none"/>
        </w:rPr>
      </w:pPr>
      <w:r>
        <w:rPr>
          <w:rFonts w:hint="eastAsia"/>
          <w:color w:val="auto"/>
          <w:highlight w:val="none"/>
        </w:rPr>
        <w:t>传真：____________</w:t>
      </w:r>
    </w:p>
    <w:p w14:paraId="219F83EA">
      <w:pPr>
        <w:spacing w:line="360" w:lineRule="auto"/>
        <w:ind w:firstLine="420" w:firstLineChars="200"/>
        <w:rPr>
          <w:color w:val="auto"/>
          <w:highlight w:val="none"/>
        </w:rPr>
      </w:pPr>
      <w:r>
        <w:rPr>
          <w:rFonts w:hint="eastAsia"/>
          <w:color w:val="auto"/>
          <w:highlight w:val="none"/>
        </w:rPr>
        <w:t xml:space="preserve">日  期：____________          </w:t>
      </w:r>
    </w:p>
    <w:p w14:paraId="18856A96">
      <w:pPr>
        <w:spacing w:line="360" w:lineRule="auto"/>
        <w:ind w:firstLine="420" w:firstLineChars="200"/>
        <w:rPr>
          <w:color w:val="auto"/>
          <w:highlight w:val="none"/>
        </w:rPr>
      </w:pPr>
    </w:p>
    <w:p w14:paraId="452C844D">
      <w:pPr>
        <w:ind w:firstLine="480" w:firstLineChars="200"/>
        <w:rPr>
          <w:rFonts w:hAnsi="宋体" w:eastAsia="Times New Roman" w:cs="宋体"/>
          <w:color w:val="auto"/>
          <w:sz w:val="24"/>
          <w:highlight w:val="none"/>
        </w:rPr>
      </w:pPr>
    </w:p>
    <w:p w14:paraId="210E59F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特别说明：</w:t>
      </w:r>
    </w:p>
    <w:p w14:paraId="721D6EA1">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的全名或加盖名章，线上采购项目应上传扫描件。</w:t>
      </w:r>
    </w:p>
    <w:p w14:paraId="7682770D">
      <w:pPr>
        <w:adjustRightInd w:val="0"/>
        <w:snapToGrid w:val="0"/>
        <w:spacing w:line="360" w:lineRule="auto"/>
        <w:jc w:val="center"/>
        <w:rPr>
          <w:rFonts w:ascii="Times New Roman" w:hAnsi="Times New Roman"/>
          <w:b/>
          <w:bCs/>
          <w:color w:val="auto"/>
          <w:sz w:val="28"/>
          <w:szCs w:val="28"/>
          <w:highlight w:val="none"/>
        </w:rPr>
      </w:pPr>
      <w:r>
        <w:rPr>
          <w:rFonts w:hint="eastAsia" w:hAnsi="宋体" w:cs="宋体"/>
          <w:b/>
          <w:bCs/>
          <w:color w:val="auto"/>
          <w:sz w:val="28"/>
          <w:szCs w:val="28"/>
          <w:highlight w:val="none"/>
        </w:rPr>
        <w:br w:type="page"/>
      </w:r>
      <w:bookmarkStart w:id="34" w:name="_Toc18153"/>
      <w:bookmarkStart w:id="35" w:name="_Toc8860"/>
      <w:r>
        <w:rPr>
          <w:rFonts w:ascii="Times New Roman" w:hAnsi="Times New Roman"/>
          <w:b/>
          <w:bCs/>
          <w:color w:val="auto"/>
          <w:sz w:val="28"/>
          <w:szCs w:val="28"/>
          <w:highlight w:val="none"/>
        </w:rPr>
        <w:t>格式3  投标报价表</w:t>
      </w:r>
    </w:p>
    <w:p w14:paraId="2F072DEB">
      <w:pPr>
        <w:pStyle w:val="12"/>
        <w:topLinePunct/>
        <w:autoSpaceDE w:val="0"/>
        <w:autoSpaceDN w:val="0"/>
        <w:adjustRightInd w:val="0"/>
        <w:snapToGrid w:val="0"/>
        <w:spacing w:line="360" w:lineRule="auto"/>
        <w:ind w:left="2"/>
        <w:jc w:val="center"/>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1.开标一览表（总报价表）</w:t>
      </w:r>
      <w:bookmarkEnd w:id="34"/>
      <w:bookmarkEnd w:id="35"/>
    </w:p>
    <w:p w14:paraId="12BD6DF0">
      <w:pPr>
        <w:pStyle w:val="12"/>
        <w:topLinePunct/>
        <w:autoSpaceDE w:val="0"/>
        <w:autoSpaceDN w:val="0"/>
        <w:adjustRightInd w:val="0"/>
        <w:snapToGrid w:val="0"/>
        <w:spacing w:line="360" w:lineRule="auto"/>
        <w:ind w:left="2"/>
        <w:jc w:val="center"/>
        <w:rPr>
          <w:rFonts w:hint="eastAsia" w:hAnsi="宋体" w:cs="宋体"/>
          <w:color w:val="auto"/>
          <w:highlight w:val="none"/>
        </w:rPr>
      </w:pPr>
      <w:r>
        <w:rPr>
          <w:rFonts w:hAnsi="宋体" w:cs="宋体"/>
          <w:color w:val="auto"/>
          <w:highlight w:val="none"/>
        </w:rPr>
        <w:t>(货物类项目适用)</w:t>
      </w:r>
    </w:p>
    <w:p w14:paraId="5F456510">
      <w:pPr>
        <w:topLinePunct/>
        <w:autoSpaceDE w:val="0"/>
        <w:autoSpaceDN w:val="0"/>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F327572">
      <w:pPr>
        <w:adjustRightInd w:val="0"/>
        <w:snapToGrid w:val="0"/>
        <w:spacing w:line="360" w:lineRule="auto"/>
        <w:ind w:right="840"/>
        <w:rPr>
          <w:rFonts w:hint="eastAsia" w:ascii="宋体" w:hAnsi="宋体" w:cs="宋体"/>
          <w:color w:val="auto"/>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8"/>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14:paraId="79B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6BC99930">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4918" w:type="dxa"/>
            <w:noWrap/>
            <w:vAlign w:val="center"/>
          </w:tcPr>
          <w:p w14:paraId="1E064222">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2553" w:type="dxa"/>
            <w:noWrap/>
            <w:vAlign w:val="center"/>
          </w:tcPr>
          <w:p w14:paraId="34FD0AE7">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14:paraId="1289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57BB260F">
            <w:pPr>
              <w:adjustRightInd w:val="0"/>
              <w:snapToGrid w:val="0"/>
              <w:spacing w:before="62" w:beforeLines="20" w:after="62" w:afterLines="20"/>
              <w:jc w:val="center"/>
              <w:rPr>
                <w:rFonts w:ascii="Times New Roman" w:hAnsi="Times New Roman"/>
                <w:color w:val="auto"/>
                <w:szCs w:val="21"/>
                <w:highlight w:val="none"/>
              </w:rPr>
            </w:pPr>
            <w:r>
              <w:rPr>
                <w:rFonts w:hint="eastAsia"/>
                <w:color w:val="auto"/>
                <w:szCs w:val="21"/>
                <w:highlight w:val="none"/>
              </w:rPr>
              <w:t>1</w:t>
            </w:r>
          </w:p>
        </w:tc>
        <w:tc>
          <w:tcPr>
            <w:tcW w:w="4918" w:type="dxa"/>
            <w:noWrap/>
            <w:vAlign w:val="center"/>
          </w:tcPr>
          <w:p w14:paraId="6F5BDE56">
            <w:pPr>
              <w:spacing w:line="460" w:lineRule="exact"/>
              <w:jc w:val="left"/>
              <w:rPr>
                <w:rFonts w:ascii="Times New Roman" w:hAnsi="Times New Roman"/>
                <w:color w:val="auto"/>
                <w:szCs w:val="21"/>
                <w:highlight w:val="none"/>
              </w:rPr>
            </w:pPr>
          </w:p>
        </w:tc>
        <w:tc>
          <w:tcPr>
            <w:tcW w:w="2553" w:type="dxa"/>
            <w:noWrap/>
            <w:vAlign w:val="center"/>
          </w:tcPr>
          <w:p w14:paraId="13C9733A">
            <w:pPr>
              <w:adjustRightInd w:val="0"/>
              <w:snapToGrid w:val="0"/>
              <w:spacing w:before="62" w:beforeLines="20" w:after="62" w:afterLines="20"/>
              <w:jc w:val="center"/>
              <w:rPr>
                <w:rFonts w:ascii="Times New Roman" w:hAnsi="Times New Roman"/>
                <w:b/>
                <w:bCs/>
                <w:color w:val="auto"/>
                <w:szCs w:val="21"/>
                <w:highlight w:val="none"/>
              </w:rPr>
            </w:pPr>
          </w:p>
        </w:tc>
      </w:tr>
      <w:tr w14:paraId="1DA4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31149F9B">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4918" w:type="dxa"/>
            <w:noWrap/>
            <w:vAlign w:val="center"/>
          </w:tcPr>
          <w:p w14:paraId="57720E9E">
            <w:pPr>
              <w:spacing w:line="460" w:lineRule="exact"/>
              <w:jc w:val="left"/>
              <w:rPr>
                <w:rFonts w:ascii="Times New Roman" w:hAnsi="Times New Roman"/>
                <w:color w:val="auto"/>
                <w:szCs w:val="21"/>
                <w:highlight w:val="none"/>
              </w:rPr>
            </w:pPr>
          </w:p>
        </w:tc>
        <w:tc>
          <w:tcPr>
            <w:tcW w:w="2553" w:type="dxa"/>
            <w:noWrap/>
            <w:vAlign w:val="center"/>
          </w:tcPr>
          <w:p w14:paraId="0E499BBD">
            <w:pPr>
              <w:adjustRightInd w:val="0"/>
              <w:snapToGrid w:val="0"/>
              <w:spacing w:before="62" w:beforeLines="20" w:after="62" w:afterLines="20"/>
              <w:jc w:val="center"/>
              <w:rPr>
                <w:rFonts w:ascii="Times New Roman" w:hAnsi="Times New Roman"/>
                <w:b/>
                <w:bCs/>
                <w:color w:val="auto"/>
                <w:szCs w:val="21"/>
                <w:highlight w:val="none"/>
              </w:rPr>
            </w:pPr>
          </w:p>
        </w:tc>
      </w:tr>
      <w:tr w14:paraId="1394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422FAB48">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4918" w:type="dxa"/>
            <w:noWrap/>
            <w:vAlign w:val="center"/>
          </w:tcPr>
          <w:p w14:paraId="6F4B1A86">
            <w:pPr>
              <w:rPr>
                <w:rFonts w:ascii="Times New Roman" w:hAnsi="Times New Roman"/>
                <w:color w:val="auto"/>
                <w:szCs w:val="21"/>
                <w:highlight w:val="none"/>
              </w:rPr>
            </w:pPr>
          </w:p>
        </w:tc>
        <w:tc>
          <w:tcPr>
            <w:tcW w:w="2553" w:type="dxa"/>
            <w:noWrap/>
            <w:vAlign w:val="center"/>
          </w:tcPr>
          <w:p w14:paraId="22F4E3B0">
            <w:pPr>
              <w:rPr>
                <w:rFonts w:ascii="Times New Roman" w:hAnsi="Times New Roman"/>
                <w:color w:val="auto"/>
                <w:szCs w:val="21"/>
                <w:highlight w:val="none"/>
              </w:rPr>
            </w:pPr>
          </w:p>
        </w:tc>
      </w:tr>
      <w:tr w14:paraId="3D44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4CEAFF2E">
            <w:pPr>
              <w:rPr>
                <w:rFonts w:ascii="Times New Roman" w:hAnsi="Times New Roman"/>
                <w:color w:val="auto"/>
                <w:szCs w:val="21"/>
                <w:highlight w:val="none"/>
              </w:rPr>
            </w:pPr>
          </w:p>
        </w:tc>
        <w:tc>
          <w:tcPr>
            <w:tcW w:w="4918" w:type="dxa"/>
            <w:noWrap/>
            <w:vAlign w:val="center"/>
          </w:tcPr>
          <w:p w14:paraId="468A753A">
            <w:pPr>
              <w:rPr>
                <w:rFonts w:ascii="Times New Roman" w:hAnsi="Times New Roman"/>
                <w:color w:val="auto"/>
                <w:szCs w:val="21"/>
                <w:highlight w:val="none"/>
              </w:rPr>
            </w:pPr>
          </w:p>
        </w:tc>
        <w:tc>
          <w:tcPr>
            <w:tcW w:w="2553" w:type="dxa"/>
            <w:noWrap/>
            <w:vAlign w:val="center"/>
          </w:tcPr>
          <w:p w14:paraId="7BA26194">
            <w:pPr>
              <w:rPr>
                <w:rFonts w:ascii="Times New Roman" w:hAnsi="Times New Roman"/>
                <w:color w:val="auto"/>
                <w:szCs w:val="21"/>
                <w:highlight w:val="none"/>
              </w:rPr>
            </w:pPr>
          </w:p>
        </w:tc>
      </w:tr>
      <w:tr w14:paraId="59C8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581DFDF3">
            <w:pPr>
              <w:rPr>
                <w:rFonts w:ascii="Times New Roman" w:hAnsi="Times New Roman"/>
                <w:color w:val="auto"/>
                <w:szCs w:val="21"/>
                <w:highlight w:val="none"/>
              </w:rPr>
            </w:pPr>
          </w:p>
        </w:tc>
        <w:tc>
          <w:tcPr>
            <w:tcW w:w="4918" w:type="dxa"/>
            <w:noWrap/>
            <w:vAlign w:val="center"/>
          </w:tcPr>
          <w:p w14:paraId="499EA276">
            <w:pPr>
              <w:rPr>
                <w:rFonts w:ascii="Times New Roman" w:hAnsi="Times New Roman"/>
                <w:color w:val="auto"/>
                <w:szCs w:val="21"/>
                <w:highlight w:val="none"/>
              </w:rPr>
            </w:pPr>
          </w:p>
        </w:tc>
        <w:tc>
          <w:tcPr>
            <w:tcW w:w="2553" w:type="dxa"/>
            <w:noWrap/>
            <w:vAlign w:val="center"/>
          </w:tcPr>
          <w:p w14:paraId="0FF07469">
            <w:pPr>
              <w:rPr>
                <w:rFonts w:ascii="Times New Roman" w:hAnsi="Times New Roman"/>
                <w:color w:val="auto"/>
                <w:szCs w:val="21"/>
                <w:highlight w:val="none"/>
              </w:rPr>
            </w:pPr>
          </w:p>
        </w:tc>
      </w:tr>
      <w:tr w14:paraId="16E5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2DB6E4A3">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2553" w:type="dxa"/>
            <w:noWrap/>
            <w:vAlign w:val="center"/>
          </w:tcPr>
          <w:p w14:paraId="7DD40E53">
            <w:pPr>
              <w:adjustRightInd w:val="0"/>
              <w:snapToGrid w:val="0"/>
              <w:spacing w:before="62" w:beforeLines="20" w:after="62" w:afterLines="20"/>
              <w:jc w:val="center"/>
              <w:rPr>
                <w:rFonts w:ascii="Times New Roman" w:hAnsi="Times New Roman"/>
                <w:b/>
                <w:bCs/>
                <w:color w:val="auto"/>
                <w:szCs w:val="21"/>
                <w:highlight w:val="none"/>
              </w:rPr>
            </w:pPr>
          </w:p>
        </w:tc>
      </w:tr>
      <w:tr w14:paraId="789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4CAE5879">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2553" w:type="dxa"/>
            <w:noWrap/>
            <w:vAlign w:val="center"/>
          </w:tcPr>
          <w:p w14:paraId="10801DF9">
            <w:pPr>
              <w:adjustRightInd w:val="0"/>
              <w:snapToGrid w:val="0"/>
              <w:spacing w:before="62" w:beforeLines="20" w:after="62" w:afterLines="20"/>
              <w:jc w:val="center"/>
              <w:rPr>
                <w:rFonts w:ascii="Times New Roman" w:hAnsi="Times New Roman"/>
                <w:b/>
                <w:bCs/>
                <w:color w:val="auto"/>
                <w:szCs w:val="21"/>
                <w:highlight w:val="none"/>
              </w:rPr>
            </w:pPr>
          </w:p>
        </w:tc>
      </w:tr>
      <w:tr w14:paraId="7174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4C29927C">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供货期限</w:t>
            </w:r>
          </w:p>
        </w:tc>
        <w:tc>
          <w:tcPr>
            <w:tcW w:w="2553" w:type="dxa"/>
            <w:noWrap/>
            <w:vAlign w:val="center"/>
          </w:tcPr>
          <w:p w14:paraId="24697717">
            <w:pPr>
              <w:adjustRightInd w:val="0"/>
              <w:snapToGrid w:val="0"/>
              <w:spacing w:before="62" w:beforeLines="20" w:after="62" w:afterLines="20"/>
              <w:jc w:val="center"/>
              <w:rPr>
                <w:rFonts w:ascii="Times New Roman" w:hAnsi="Times New Roman"/>
                <w:color w:val="auto"/>
                <w:szCs w:val="21"/>
                <w:highlight w:val="none"/>
              </w:rPr>
            </w:pPr>
          </w:p>
        </w:tc>
      </w:tr>
      <w:tr w14:paraId="7A84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36DAFD13">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质保期</w:t>
            </w:r>
          </w:p>
        </w:tc>
        <w:tc>
          <w:tcPr>
            <w:tcW w:w="2553" w:type="dxa"/>
            <w:noWrap/>
            <w:vAlign w:val="center"/>
          </w:tcPr>
          <w:p w14:paraId="79C7ADB6">
            <w:pPr>
              <w:adjustRightInd w:val="0"/>
              <w:snapToGrid w:val="0"/>
              <w:spacing w:before="62" w:beforeLines="20" w:after="62" w:afterLines="20"/>
              <w:jc w:val="center"/>
              <w:rPr>
                <w:rFonts w:ascii="Times New Roman" w:hAnsi="Times New Roman"/>
                <w:color w:val="auto"/>
                <w:szCs w:val="21"/>
                <w:highlight w:val="none"/>
              </w:rPr>
            </w:pPr>
          </w:p>
        </w:tc>
      </w:tr>
      <w:tr w14:paraId="34F8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4901BA17">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2553" w:type="dxa"/>
            <w:noWrap/>
            <w:vAlign w:val="center"/>
          </w:tcPr>
          <w:p w14:paraId="774B5623">
            <w:pPr>
              <w:adjustRightInd w:val="0"/>
              <w:snapToGrid w:val="0"/>
              <w:spacing w:before="62" w:beforeLines="20" w:after="62" w:afterLines="20"/>
              <w:jc w:val="center"/>
              <w:rPr>
                <w:rFonts w:ascii="Times New Roman" w:hAnsi="Times New Roman"/>
                <w:color w:val="auto"/>
                <w:szCs w:val="21"/>
                <w:highlight w:val="none"/>
              </w:rPr>
            </w:pPr>
          </w:p>
        </w:tc>
      </w:tr>
    </w:tbl>
    <w:p w14:paraId="246130F5">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14:paraId="28009104">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14:paraId="59E40EDF">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14:paraId="338550FF">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14:paraId="017F4FD8">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14:paraId="54CA7862">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14:paraId="551E35A9">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32C3FFC3">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投标人代表（签字或盖章）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0BBCE52F">
      <w:pPr>
        <w:tabs>
          <w:tab w:val="left" w:pos="1230"/>
        </w:tabs>
        <w:topLinePunct/>
        <w:autoSpaceDE w:val="0"/>
        <w:autoSpaceDN w:val="0"/>
        <w:adjustRightInd w:val="0"/>
        <w:snapToGrid w:val="0"/>
        <w:spacing w:line="360" w:lineRule="auto"/>
        <w:ind w:firstLine="420" w:firstLineChars="200"/>
        <w:jc w:val="center"/>
        <w:rPr>
          <w:rFonts w:hint="eastAsia" w:ascii="宋体" w:hAnsi="宋体" w:cs="宋体"/>
          <w:b/>
          <w:bCs/>
          <w:color w:val="auto"/>
          <w:sz w:val="28"/>
          <w:szCs w:val="28"/>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br w:type="page"/>
      </w:r>
      <w:r>
        <w:rPr>
          <w:rFonts w:hint="eastAsia" w:ascii="宋体" w:hAnsi="宋体" w:cs="宋体"/>
          <w:b/>
          <w:bCs/>
          <w:color w:val="auto"/>
          <w:sz w:val="28"/>
          <w:szCs w:val="28"/>
          <w:highlight w:val="none"/>
        </w:rPr>
        <w:t>1.开标一览表（总报价表）</w:t>
      </w:r>
    </w:p>
    <w:p w14:paraId="5F72B690">
      <w:pPr>
        <w:pStyle w:val="12"/>
        <w:topLinePunct/>
        <w:autoSpaceDE w:val="0"/>
        <w:autoSpaceDN w:val="0"/>
        <w:adjustRightInd w:val="0"/>
        <w:snapToGrid w:val="0"/>
        <w:spacing w:line="360" w:lineRule="auto"/>
        <w:ind w:left="2"/>
        <w:jc w:val="center"/>
        <w:rPr>
          <w:rFonts w:hint="eastAsia" w:hAnsi="宋体" w:cs="宋体"/>
          <w:color w:val="auto"/>
          <w:highlight w:val="none"/>
        </w:rPr>
      </w:pPr>
      <w:r>
        <w:rPr>
          <w:rFonts w:hint="eastAsia" w:hAnsi="宋体" w:cs="宋体"/>
          <w:color w:val="auto"/>
          <w:highlight w:val="none"/>
        </w:rPr>
        <w:t>(服务类项目适用)</w:t>
      </w:r>
    </w:p>
    <w:p w14:paraId="5B52E4F2">
      <w:pPr>
        <w:topLinePunct/>
        <w:autoSpaceDE w:val="0"/>
        <w:autoSpaceDN w:val="0"/>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FBA2A82">
      <w:pPr>
        <w:adjustRightInd w:val="0"/>
        <w:snapToGrid w:val="0"/>
        <w:spacing w:line="360" w:lineRule="auto"/>
        <w:ind w:right="840"/>
        <w:rPr>
          <w:rFonts w:hint="eastAsia"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8"/>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14:paraId="7553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47C2B204">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4918" w:type="dxa"/>
            <w:noWrap/>
            <w:vAlign w:val="center"/>
          </w:tcPr>
          <w:p w14:paraId="299854E3">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2553" w:type="dxa"/>
            <w:noWrap/>
            <w:vAlign w:val="center"/>
          </w:tcPr>
          <w:p w14:paraId="5517E3FD">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14:paraId="034E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0DA9C405">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4918" w:type="dxa"/>
            <w:noWrap/>
            <w:vAlign w:val="center"/>
          </w:tcPr>
          <w:p w14:paraId="1AB04E16">
            <w:pPr>
              <w:adjustRightInd w:val="0"/>
              <w:snapToGrid w:val="0"/>
              <w:spacing w:line="360" w:lineRule="auto"/>
              <w:jc w:val="center"/>
              <w:rPr>
                <w:rFonts w:ascii="Times New Roman" w:hAnsi="Times New Roman"/>
                <w:color w:val="auto"/>
                <w:szCs w:val="21"/>
                <w:highlight w:val="none"/>
              </w:rPr>
            </w:pPr>
          </w:p>
        </w:tc>
        <w:tc>
          <w:tcPr>
            <w:tcW w:w="2553" w:type="dxa"/>
            <w:noWrap/>
            <w:vAlign w:val="center"/>
          </w:tcPr>
          <w:p w14:paraId="36E325DE">
            <w:pPr>
              <w:adjustRightInd w:val="0"/>
              <w:snapToGrid w:val="0"/>
              <w:spacing w:before="62" w:beforeLines="20" w:after="62" w:afterLines="20"/>
              <w:jc w:val="center"/>
              <w:rPr>
                <w:rFonts w:ascii="Times New Roman" w:hAnsi="Times New Roman"/>
                <w:b/>
                <w:color w:val="auto"/>
                <w:szCs w:val="21"/>
                <w:highlight w:val="none"/>
              </w:rPr>
            </w:pPr>
          </w:p>
        </w:tc>
      </w:tr>
      <w:tr w14:paraId="28D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288EB3AD">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4918" w:type="dxa"/>
            <w:noWrap/>
            <w:vAlign w:val="center"/>
          </w:tcPr>
          <w:p w14:paraId="6F1E1DD1">
            <w:pPr>
              <w:spacing w:line="460" w:lineRule="exact"/>
              <w:jc w:val="left"/>
              <w:rPr>
                <w:rFonts w:ascii="Times New Roman" w:hAnsi="Times New Roman"/>
                <w:color w:val="auto"/>
                <w:szCs w:val="21"/>
                <w:highlight w:val="none"/>
              </w:rPr>
            </w:pPr>
          </w:p>
        </w:tc>
        <w:tc>
          <w:tcPr>
            <w:tcW w:w="2553" w:type="dxa"/>
            <w:noWrap/>
            <w:vAlign w:val="center"/>
          </w:tcPr>
          <w:p w14:paraId="13EE207C">
            <w:pPr>
              <w:adjustRightInd w:val="0"/>
              <w:snapToGrid w:val="0"/>
              <w:spacing w:before="62" w:beforeLines="20" w:after="62" w:afterLines="20"/>
              <w:jc w:val="center"/>
              <w:rPr>
                <w:rFonts w:ascii="Times New Roman" w:hAnsi="Times New Roman"/>
                <w:color w:val="auto"/>
                <w:szCs w:val="21"/>
                <w:highlight w:val="none"/>
              </w:rPr>
            </w:pPr>
          </w:p>
        </w:tc>
      </w:tr>
      <w:tr w14:paraId="469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861" w:type="dxa"/>
            <w:noWrap/>
            <w:vAlign w:val="center"/>
          </w:tcPr>
          <w:p w14:paraId="443AF435">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4918" w:type="dxa"/>
            <w:noWrap/>
            <w:vAlign w:val="center"/>
          </w:tcPr>
          <w:p w14:paraId="19CABE66">
            <w:pPr>
              <w:spacing w:line="460" w:lineRule="exact"/>
              <w:jc w:val="left"/>
              <w:rPr>
                <w:rFonts w:ascii="Times New Roman" w:hAnsi="Times New Roman"/>
                <w:color w:val="auto"/>
                <w:szCs w:val="21"/>
                <w:highlight w:val="none"/>
              </w:rPr>
            </w:pPr>
          </w:p>
        </w:tc>
        <w:tc>
          <w:tcPr>
            <w:tcW w:w="2553" w:type="dxa"/>
            <w:noWrap/>
            <w:vAlign w:val="center"/>
          </w:tcPr>
          <w:p w14:paraId="6B29A5E3">
            <w:pPr>
              <w:adjustRightInd w:val="0"/>
              <w:snapToGrid w:val="0"/>
              <w:spacing w:before="62" w:beforeLines="20" w:after="62" w:afterLines="20"/>
              <w:jc w:val="center"/>
              <w:rPr>
                <w:rFonts w:ascii="Times New Roman" w:hAnsi="Times New Roman"/>
                <w:color w:val="auto"/>
                <w:szCs w:val="21"/>
                <w:highlight w:val="none"/>
              </w:rPr>
            </w:pPr>
          </w:p>
        </w:tc>
      </w:tr>
      <w:tr w14:paraId="3EA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245B5F86">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2553" w:type="dxa"/>
            <w:noWrap/>
            <w:vAlign w:val="center"/>
          </w:tcPr>
          <w:p w14:paraId="1EF7418C">
            <w:pPr>
              <w:adjustRightInd w:val="0"/>
              <w:snapToGrid w:val="0"/>
              <w:spacing w:before="62" w:beforeLines="20" w:after="62" w:afterLines="20"/>
              <w:jc w:val="center"/>
              <w:rPr>
                <w:rFonts w:ascii="Times New Roman" w:hAnsi="Times New Roman"/>
                <w:color w:val="auto"/>
                <w:szCs w:val="21"/>
                <w:highlight w:val="none"/>
              </w:rPr>
            </w:pPr>
          </w:p>
        </w:tc>
      </w:tr>
      <w:tr w14:paraId="760D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4F733F96">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2553" w:type="dxa"/>
            <w:noWrap/>
            <w:vAlign w:val="center"/>
          </w:tcPr>
          <w:p w14:paraId="6A165273">
            <w:pPr>
              <w:adjustRightInd w:val="0"/>
              <w:snapToGrid w:val="0"/>
              <w:spacing w:before="62" w:beforeLines="20" w:after="62" w:afterLines="20"/>
              <w:jc w:val="center"/>
              <w:rPr>
                <w:rFonts w:ascii="Times New Roman" w:hAnsi="Times New Roman"/>
                <w:color w:val="auto"/>
                <w:szCs w:val="21"/>
                <w:highlight w:val="none"/>
              </w:rPr>
            </w:pPr>
          </w:p>
        </w:tc>
      </w:tr>
      <w:tr w14:paraId="3A55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271AF965">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服务期</w:t>
            </w:r>
          </w:p>
        </w:tc>
        <w:tc>
          <w:tcPr>
            <w:tcW w:w="2553" w:type="dxa"/>
            <w:noWrap/>
            <w:vAlign w:val="center"/>
          </w:tcPr>
          <w:p w14:paraId="6831B3D7">
            <w:pPr>
              <w:adjustRightInd w:val="0"/>
              <w:snapToGrid w:val="0"/>
              <w:spacing w:before="62" w:beforeLines="20" w:after="62" w:afterLines="20"/>
              <w:jc w:val="center"/>
              <w:rPr>
                <w:rFonts w:ascii="Times New Roman" w:hAnsi="Times New Roman"/>
                <w:color w:val="auto"/>
                <w:szCs w:val="21"/>
                <w:highlight w:val="none"/>
              </w:rPr>
            </w:pPr>
          </w:p>
        </w:tc>
      </w:tr>
      <w:tr w14:paraId="7263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1F0AB755">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2553" w:type="dxa"/>
            <w:noWrap/>
            <w:vAlign w:val="center"/>
          </w:tcPr>
          <w:p w14:paraId="69248EC8">
            <w:pPr>
              <w:adjustRightInd w:val="0"/>
              <w:snapToGrid w:val="0"/>
              <w:spacing w:before="62" w:beforeLines="20" w:after="62" w:afterLines="20"/>
              <w:jc w:val="center"/>
              <w:rPr>
                <w:rFonts w:ascii="Times New Roman" w:hAnsi="Times New Roman"/>
                <w:color w:val="auto"/>
                <w:szCs w:val="21"/>
                <w:highlight w:val="none"/>
              </w:rPr>
            </w:pPr>
          </w:p>
        </w:tc>
      </w:tr>
    </w:tbl>
    <w:p w14:paraId="15BB1E94">
      <w:pPr>
        <w:topLinePunct/>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特别说明：</w:t>
      </w:r>
    </w:p>
    <w:p w14:paraId="34B28C83">
      <w:pPr>
        <w:topLinePunct/>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1.本项目总价及分项报价均不接受任何形式的赠送、“零”报价和折扣报价。</w:t>
      </w:r>
    </w:p>
    <w:p w14:paraId="3476F1EC">
      <w:pPr>
        <w:topLinePunct/>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14:paraId="02C5F4A1">
      <w:pPr>
        <w:topLinePunct/>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3.投标人应根据《招标文件-技术部分》相关要求填报。</w:t>
      </w:r>
    </w:p>
    <w:p w14:paraId="2F99E23E">
      <w:pPr>
        <w:topLinePunct/>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14:paraId="3F5656CB">
      <w:pPr>
        <w:topLinePunct/>
        <w:autoSpaceDE w:val="0"/>
        <w:autoSpaceDN w:val="0"/>
        <w:adjustRightInd w:val="0"/>
        <w:snapToGrid w:val="0"/>
        <w:spacing w:line="360" w:lineRule="auto"/>
        <w:ind w:firstLine="525" w:firstLineChars="250"/>
        <w:jc w:val="left"/>
        <w:rPr>
          <w:color w:val="auto"/>
          <w:highlight w:val="none"/>
        </w:rPr>
      </w:pPr>
    </w:p>
    <w:p w14:paraId="40B4EE28">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F2A5E92">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4C4D019">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0DB9C5AB">
      <w:pPr>
        <w:widowControl/>
        <w:jc w:val="center"/>
        <w:rPr>
          <w:rFonts w:ascii="Times New Roman" w:hAnsi="Times New Roman"/>
          <w:b/>
          <w:color w:val="auto"/>
          <w:sz w:val="28"/>
          <w:highlight w:val="none"/>
        </w:rPr>
      </w:pPr>
      <w:r>
        <w:rPr>
          <w:rFonts w:hAnsi="宋体" w:cs="宋体"/>
          <w:color w:val="auto"/>
          <w:szCs w:val="21"/>
          <w:highlight w:val="none"/>
        </w:rPr>
        <w:br w:type="page"/>
      </w:r>
      <w:r>
        <w:rPr>
          <w:rFonts w:ascii="Times New Roman" w:hAnsi="Times New Roman"/>
          <w:b/>
          <w:color w:val="auto"/>
          <w:sz w:val="28"/>
          <w:highlight w:val="none"/>
        </w:rPr>
        <w:t>2.分项报价表</w:t>
      </w:r>
    </w:p>
    <w:p w14:paraId="2FDA90C3">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14:paraId="6ADA37D5">
      <w:pPr>
        <w:pStyle w:val="12"/>
        <w:topLinePunct/>
        <w:autoSpaceDE w:val="0"/>
        <w:autoSpaceDN w:val="0"/>
        <w:adjustRightInd w:val="0"/>
        <w:snapToGrid w:val="0"/>
        <w:spacing w:line="360" w:lineRule="auto"/>
        <w:ind w:left="2"/>
        <w:jc w:val="center"/>
        <w:rPr>
          <w:rFonts w:hint="eastAsia" w:hAnsi="宋体" w:cs="宋体"/>
          <w:color w:val="auto"/>
          <w:highlight w:val="none"/>
        </w:rPr>
      </w:pPr>
      <w:r>
        <w:rPr>
          <w:rFonts w:hint="eastAsia" w:hAnsi="宋体" w:cs="宋体"/>
          <w:color w:val="auto"/>
          <w:highlight w:val="none"/>
        </w:rPr>
        <w:t>(货物类项目适用)</w:t>
      </w:r>
    </w:p>
    <w:p w14:paraId="34C85631">
      <w:pPr>
        <w:topLinePunct/>
        <w:autoSpaceDE w:val="0"/>
        <w:autoSpaceDN w:val="0"/>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1B11F7E">
      <w:pPr>
        <w:adjustRightInd w:val="0"/>
        <w:snapToGrid w:val="0"/>
        <w:spacing w:line="360" w:lineRule="auto"/>
        <w:ind w:right="840"/>
        <w:rPr>
          <w:rFonts w:hint="eastAsia"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277"/>
        <w:gridCol w:w="851"/>
        <w:gridCol w:w="851"/>
        <w:gridCol w:w="850"/>
        <w:gridCol w:w="565"/>
        <w:gridCol w:w="1058"/>
        <w:gridCol w:w="1186"/>
        <w:gridCol w:w="1018"/>
      </w:tblGrid>
      <w:tr w14:paraId="3843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60D0EE6D">
            <w:pPr>
              <w:pStyle w:val="12"/>
              <w:jc w:val="center"/>
              <w:rPr>
                <w:rFonts w:ascii="Times New Roman" w:hAnsi="Times New Roman"/>
                <w:color w:val="auto"/>
                <w:highlight w:val="none"/>
              </w:rPr>
            </w:pPr>
            <w:r>
              <w:rPr>
                <w:rFonts w:ascii="Times New Roman" w:hAnsi="Times New Roman"/>
                <w:color w:val="auto"/>
                <w:highlight w:val="none"/>
              </w:rPr>
              <w:t>序号</w:t>
            </w:r>
          </w:p>
        </w:tc>
        <w:tc>
          <w:tcPr>
            <w:tcW w:w="741" w:type="pct"/>
            <w:vAlign w:val="center"/>
          </w:tcPr>
          <w:p w14:paraId="1AF42EF7">
            <w:pPr>
              <w:pStyle w:val="12"/>
              <w:jc w:val="center"/>
              <w:rPr>
                <w:rFonts w:ascii="Times New Roman" w:hAnsi="Times New Roman"/>
                <w:color w:val="auto"/>
                <w:highlight w:val="none"/>
              </w:rPr>
            </w:pPr>
            <w:r>
              <w:rPr>
                <w:rFonts w:ascii="Times New Roman" w:hAnsi="Times New Roman"/>
                <w:color w:val="auto"/>
                <w:highlight w:val="none"/>
              </w:rPr>
              <w:t>货物</w:t>
            </w:r>
          </w:p>
          <w:p w14:paraId="64CFB7F1">
            <w:pPr>
              <w:pStyle w:val="12"/>
              <w:jc w:val="center"/>
              <w:rPr>
                <w:rFonts w:ascii="Times New Roman" w:hAnsi="Times New Roman"/>
                <w:color w:val="auto"/>
                <w:highlight w:val="none"/>
              </w:rPr>
            </w:pPr>
            <w:r>
              <w:rPr>
                <w:rFonts w:ascii="Times New Roman" w:hAnsi="Times New Roman"/>
                <w:color w:val="auto"/>
                <w:highlight w:val="none"/>
              </w:rPr>
              <w:t>名称</w:t>
            </w:r>
          </w:p>
        </w:tc>
        <w:tc>
          <w:tcPr>
            <w:tcW w:w="494" w:type="pct"/>
            <w:vAlign w:val="center"/>
          </w:tcPr>
          <w:p w14:paraId="750FB17C">
            <w:pPr>
              <w:pStyle w:val="12"/>
              <w:jc w:val="center"/>
              <w:rPr>
                <w:rFonts w:ascii="Times New Roman" w:hAnsi="Times New Roman"/>
                <w:color w:val="auto"/>
                <w:highlight w:val="none"/>
              </w:rPr>
            </w:pPr>
            <w:r>
              <w:rPr>
                <w:rFonts w:ascii="Times New Roman" w:hAnsi="Times New Roman"/>
                <w:color w:val="auto"/>
                <w:highlight w:val="none"/>
              </w:rPr>
              <w:t>品牌</w:t>
            </w:r>
          </w:p>
        </w:tc>
        <w:tc>
          <w:tcPr>
            <w:tcW w:w="494" w:type="pct"/>
            <w:vAlign w:val="center"/>
          </w:tcPr>
          <w:p w14:paraId="0396864B">
            <w:pPr>
              <w:pStyle w:val="12"/>
              <w:jc w:val="center"/>
              <w:rPr>
                <w:rFonts w:ascii="Times New Roman" w:hAnsi="Times New Roman"/>
                <w:color w:val="auto"/>
                <w:highlight w:val="none"/>
              </w:rPr>
            </w:pPr>
            <w:r>
              <w:rPr>
                <w:rFonts w:ascii="Times New Roman" w:hAnsi="Times New Roman"/>
                <w:color w:val="auto"/>
                <w:highlight w:val="none"/>
              </w:rPr>
              <w:t>生产</w:t>
            </w:r>
          </w:p>
          <w:p w14:paraId="4BAF4603">
            <w:pPr>
              <w:pStyle w:val="12"/>
              <w:jc w:val="center"/>
              <w:rPr>
                <w:rFonts w:ascii="Times New Roman" w:hAnsi="Times New Roman"/>
                <w:color w:val="auto"/>
                <w:highlight w:val="none"/>
              </w:rPr>
            </w:pPr>
            <w:r>
              <w:rPr>
                <w:rFonts w:ascii="Times New Roman" w:hAnsi="Times New Roman"/>
                <w:color w:val="auto"/>
                <w:highlight w:val="none"/>
              </w:rPr>
              <w:t>厂家</w:t>
            </w:r>
          </w:p>
        </w:tc>
        <w:tc>
          <w:tcPr>
            <w:tcW w:w="493" w:type="pct"/>
            <w:vAlign w:val="center"/>
          </w:tcPr>
          <w:p w14:paraId="3219C3FD">
            <w:pPr>
              <w:pStyle w:val="12"/>
              <w:jc w:val="center"/>
              <w:rPr>
                <w:rFonts w:ascii="Times New Roman" w:hAnsi="Times New Roman"/>
                <w:color w:val="auto"/>
                <w:highlight w:val="none"/>
              </w:rPr>
            </w:pPr>
            <w:r>
              <w:rPr>
                <w:rFonts w:ascii="Times New Roman" w:hAnsi="Times New Roman"/>
                <w:color w:val="auto"/>
                <w:highlight w:val="none"/>
              </w:rPr>
              <w:t>规格</w:t>
            </w:r>
          </w:p>
          <w:p w14:paraId="11D0161B">
            <w:pPr>
              <w:pStyle w:val="12"/>
              <w:jc w:val="center"/>
              <w:rPr>
                <w:rFonts w:ascii="Times New Roman" w:hAnsi="Times New Roman"/>
                <w:color w:val="auto"/>
                <w:highlight w:val="none"/>
              </w:rPr>
            </w:pPr>
            <w:r>
              <w:rPr>
                <w:rFonts w:ascii="Times New Roman" w:hAnsi="Times New Roman"/>
                <w:color w:val="auto"/>
                <w:highlight w:val="none"/>
              </w:rPr>
              <w:t>型号</w:t>
            </w:r>
          </w:p>
        </w:tc>
        <w:tc>
          <w:tcPr>
            <w:tcW w:w="328" w:type="pct"/>
            <w:vAlign w:val="center"/>
          </w:tcPr>
          <w:p w14:paraId="4B014073">
            <w:pPr>
              <w:pStyle w:val="12"/>
              <w:jc w:val="center"/>
              <w:rPr>
                <w:rFonts w:ascii="Times New Roman" w:hAnsi="Times New Roman"/>
                <w:color w:val="auto"/>
                <w:highlight w:val="none"/>
              </w:rPr>
            </w:pPr>
            <w:r>
              <w:rPr>
                <w:rFonts w:ascii="Times New Roman" w:hAnsi="Times New Roman"/>
                <w:color w:val="auto"/>
                <w:highlight w:val="none"/>
              </w:rPr>
              <w:t>单价</w:t>
            </w:r>
          </w:p>
        </w:tc>
        <w:tc>
          <w:tcPr>
            <w:tcW w:w="614" w:type="pct"/>
            <w:vAlign w:val="center"/>
          </w:tcPr>
          <w:p w14:paraId="093D14E4">
            <w:pPr>
              <w:pStyle w:val="12"/>
              <w:jc w:val="center"/>
              <w:rPr>
                <w:rFonts w:ascii="Times New Roman" w:hAnsi="Times New Roman"/>
                <w:color w:val="auto"/>
                <w:highlight w:val="none"/>
              </w:rPr>
            </w:pPr>
            <w:r>
              <w:rPr>
                <w:rFonts w:ascii="Times New Roman" w:hAnsi="Times New Roman"/>
                <w:color w:val="auto"/>
                <w:highlight w:val="none"/>
              </w:rPr>
              <w:t>数量</w:t>
            </w:r>
          </w:p>
        </w:tc>
        <w:tc>
          <w:tcPr>
            <w:tcW w:w="688" w:type="pct"/>
            <w:vAlign w:val="center"/>
          </w:tcPr>
          <w:p w14:paraId="702355C7">
            <w:pPr>
              <w:pStyle w:val="12"/>
              <w:jc w:val="center"/>
              <w:rPr>
                <w:rFonts w:ascii="Times New Roman" w:hAnsi="Times New Roman"/>
                <w:color w:val="auto"/>
                <w:highlight w:val="none"/>
              </w:rPr>
            </w:pPr>
            <w:r>
              <w:rPr>
                <w:rFonts w:ascii="Times New Roman" w:hAnsi="Times New Roman"/>
                <w:color w:val="auto"/>
                <w:highlight w:val="none"/>
              </w:rPr>
              <w:t>合计</w:t>
            </w:r>
          </w:p>
        </w:tc>
        <w:tc>
          <w:tcPr>
            <w:tcW w:w="590" w:type="pct"/>
            <w:vAlign w:val="center"/>
          </w:tcPr>
          <w:p w14:paraId="12F7F99C">
            <w:pPr>
              <w:pStyle w:val="12"/>
              <w:jc w:val="center"/>
              <w:rPr>
                <w:rFonts w:ascii="Times New Roman" w:hAnsi="Times New Roman"/>
                <w:color w:val="auto"/>
                <w:highlight w:val="none"/>
              </w:rPr>
            </w:pPr>
            <w:r>
              <w:rPr>
                <w:rFonts w:ascii="Times New Roman" w:hAnsi="Times New Roman"/>
                <w:color w:val="auto"/>
                <w:highlight w:val="none"/>
              </w:rPr>
              <w:t>备注</w:t>
            </w:r>
          </w:p>
        </w:tc>
      </w:tr>
      <w:tr w14:paraId="7AD1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689E8582">
            <w:pPr>
              <w:pStyle w:val="12"/>
              <w:jc w:val="center"/>
              <w:rPr>
                <w:rFonts w:ascii="Times New Roman" w:hAnsi="Times New Roman"/>
                <w:color w:val="auto"/>
                <w:highlight w:val="none"/>
              </w:rPr>
            </w:pPr>
            <w:r>
              <w:rPr>
                <w:rFonts w:ascii="Times New Roman" w:hAnsi="Times New Roman"/>
                <w:color w:val="auto"/>
                <w:highlight w:val="none"/>
              </w:rPr>
              <w:t>1</w:t>
            </w:r>
          </w:p>
        </w:tc>
        <w:tc>
          <w:tcPr>
            <w:tcW w:w="741" w:type="pct"/>
            <w:vAlign w:val="center"/>
          </w:tcPr>
          <w:p w14:paraId="36CDFFE4">
            <w:pPr>
              <w:pStyle w:val="12"/>
              <w:jc w:val="center"/>
              <w:rPr>
                <w:rFonts w:ascii="Times New Roman" w:hAnsi="Times New Roman"/>
                <w:color w:val="auto"/>
                <w:highlight w:val="none"/>
              </w:rPr>
            </w:pPr>
          </w:p>
        </w:tc>
        <w:tc>
          <w:tcPr>
            <w:tcW w:w="494" w:type="pct"/>
            <w:vAlign w:val="center"/>
          </w:tcPr>
          <w:p w14:paraId="27D00122">
            <w:pPr>
              <w:pStyle w:val="12"/>
              <w:jc w:val="center"/>
              <w:rPr>
                <w:rFonts w:ascii="Times New Roman" w:hAnsi="Times New Roman"/>
                <w:color w:val="auto"/>
                <w:highlight w:val="none"/>
              </w:rPr>
            </w:pPr>
          </w:p>
        </w:tc>
        <w:tc>
          <w:tcPr>
            <w:tcW w:w="494" w:type="pct"/>
            <w:vAlign w:val="center"/>
          </w:tcPr>
          <w:p w14:paraId="01040D7F">
            <w:pPr>
              <w:pStyle w:val="12"/>
              <w:jc w:val="center"/>
              <w:rPr>
                <w:rFonts w:ascii="Times New Roman" w:hAnsi="Times New Roman"/>
                <w:color w:val="auto"/>
                <w:highlight w:val="none"/>
              </w:rPr>
            </w:pPr>
          </w:p>
        </w:tc>
        <w:tc>
          <w:tcPr>
            <w:tcW w:w="493" w:type="pct"/>
            <w:vAlign w:val="center"/>
          </w:tcPr>
          <w:p w14:paraId="3FDD2A8A">
            <w:pPr>
              <w:pStyle w:val="12"/>
              <w:jc w:val="center"/>
              <w:rPr>
                <w:rFonts w:ascii="Times New Roman" w:hAnsi="Times New Roman"/>
                <w:color w:val="auto"/>
                <w:highlight w:val="none"/>
              </w:rPr>
            </w:pPr>
          </w:p>
        </w:tc>
        <w:tc>
          <w:tcPr>
            <w:tcW w:w="328" w:type="pct"/>
            <w:vAlign w:val="center"/>
          </w:tcPr>
          <w:p w14:paraId="30FF6C3B">
            <w:pPr>
              <w:pStyle w:val="12"/>
              <w:jc w:val="center"/>
              <w:rPr>
                <w:rFonts w:ascii="Times New Roman" w:hAnsi="Times New Roman"/>
                <w:color w:val="auto"/>
                <w:highlight w:val="none"/>
              </w:rPr>
            </w:pPr>
          </w:p>
        </w:tc>
        <w:tc>
          <w:tcPr>
            <w:tcW w:w="614" w:type="pct"/>
            <w:vAlign w:val="center"/>
          </w:tcPr>
          <w:p w14:paraId="3C8ED377">
            <w:pPr>
              <w:pStyle w:val="12"/>
              <w:jc w:val="center"/>
              <w:rPr>
                <w:rFonts w:ascii="Times New Roman" w:hAnsi="Times New Roman"/>
                <w:color w:val="auto"/>
                <w:highlight w:val="none"/>
              </w:rPr>
            </w:pPr>
          </w:p>
        </w:tc>
        <w:tc>
          <w:tcPr>
            <w:tcW w:w="688" w:type="pct"/>
            <w:vAlign w:val="center"/>
          </w:tcPr>
          <w:p w14:paraId="5684B583">
            <w:pPr>
              <w:pStyle w:val="12"/>
              <w:jc w:val="center"/>
              <w:rPr>
                <w:rFonts w:ascii="Times New Roman" w:hAnsi="Times New Roman"/>
                <w:color w:val="auto"/>
                <w:highlight w:val="none"/>
              </w:rPr>
            </w:pPr>
          </w:p>
        </w:tc>
        <w:tc>
          <w:tcPr>
            <w:tcW w:w="590" w:type="pct"/>
            <w:vAlign w:val="center"/>
          </w:tcPr>
          <w:p w14:paraId="27C0C3F8">
            <w:pPr>
              <w:pStyle w:val="12"/>
              <w:jc w:val="center"/>
              <w:rPr>
                <w:rFonts w:ascii="Times New Roman" w:hAnsi="Times New Roman"/>
                <w:color w:val="auto"/>
                <w:highlight w:val="none"/>
              </w:rPr>
            </w:pPr>
          </w:p>
        </w:tc>
      </w:tr>
      <w:tr w14:paraId="7495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7A5D41A4">
            <w:pPr>
              <w:pStyle w:val="12"/>
              <w:jc w:val="center"/>
              <w:rPr>
                <w:rFonts w:ascii="Times New Roman" w:hAnsi="Times New Roman"/>
                <w:color w:val="auto"/>
                <w:highlight w:val="none"/>
              </w:rPr>
            </w:pPr>
            <w:r>
              <w:rPr>
                <w:rFonts w:ascii="Times New Roman" w:hAnsi="Times New Roman"/>
                <w:color w:val="auto"/>
                <w:highlight w:val="none"/>
              </w:rPr>
              <w:t>2</w:t>
            </w:r>
          </w:p>
        </w:tc>
        <w:tc>
          <w:tcPr>
            <w:tcW w:w="741" w:type="pct"/>
            <w:vAlign w:val="center"/>
          </w:tcPr>
          <w:p w14:paraId="09AE2BE1">
            <w:pPr>
              <w:pStyle w:val="12"/>
              <w:jc w:val="center"/>
              <w:rPr>
                <w:rFonts w:ascii="Times New Roman" w:hAnsi="Times New Roman"/>
                <w:color w:val="auto"/>
                <w:highlight w:val="none"/>
              </w:rPr>
            </w:pPr>
          </w:p>
        </w:tc>
        <w:tc>
          <w:tcPr>
            <w:tcW w:w="494" w:type="pct"/>
            <w:vAlign w:val="center"/>
          </w:tcPr>
          <w:p w14:paraId="38699620">
            <w:pPr>
              <w:pStyle w:val="12"/>
              <w:jc w:val="center"/>
              <w:rPr>
                <w:rFonts w:ascii="Times New Roman" w:hAnsi="Times New Roman"/>
                <w:color w:val="auto"/>
                <w:highlight w:val="none"/>
              </w:rPr>
            </w:pPr>
          </w:p>
        </w:tc>
        <w:tc>
          <w:tcPr>
            <w:tcW w:w="494" w:type="pct"/>
            <w:vAlign w:val="center"/>
          </w:tcPr>
          <w:p w14:paraId="51152025">
            <w:pPr>
              <w:pStyle w:val="12"/>
              <w:jc w:val="center"/>
              <w:rPr>
                <w:rFonts w:ascii="Times New Roman" w:hAnsi="Times New Roman"/>
                <w:color w:val="auto"/>
                <w:highlight w:val="none"/>
              </w:rPr>
            </w:pPr>
          </w:p>
        </w:tc>
        <w:tc>
          <w:tcPr>
            <w:tcW w:w="493" w:type="pct"/>
            <w:vAlign w:val="center"/>
          </w:tcPr>
          <w:p w14:paraId="145787DA">
            <w:pPr>
              <w:pStyle w:val="12"/>
              <w:jc w:val="center"/>
              <w:rPr>
                <w:rFonts w:ascii="Times New Roman" w:hAnsi="Times New Roman"/>
                <w:color w:val="auto"/>
                <w:highlight w:val="none"/>
              </w:rPr>
            </w:pPr>
          </w:p>
        </w:tc>
        <w:tc>
          <w:tcPr>
            <w:tcW w:w="328" w:type="pct"/>
            <w:vAlign w:val="center"/>
          </w:tcPr>
          <w:p w14:paraId="5A242098">
            <w:pPr>
              <w:pStyle w:val="12"/>
              <w:jc w:val="center"/>
              <w:rPr>
                <w:rFonts w:ascii="Times New Roman" w:hAnsi="Times New Roman"/>
                <w:color w:val="auto"/>
                <w:highlight w:val="none"/>
              </w:rPr>
            </w:pPr>
          </w:p>
        </w:tc>
        <w:tc>
          <w:tcPr>
            <w:tcW w:w="614" w:type="pct"/>
            <w:vAlign w:val="center"/>
          </w:tcPr>
          <w:p w14:paraId="5A22776E">
            <w:pPr>
              <w:pStyle w:val="12"/>
              <w:jc w:val="center"/>
              <w:rPr>
                <w:rFonts w:ascii="Times New Roman" w:hAnsi="Times New Roman"/>
                <w:color w:val="auto"/>
                <w:highlight w:val="none"/>
              </w:rPr>
            </w:pPr>
          </w:p>
        </w:tc>
        <w:tc>
          <w:tcPr>
            <w:tcW w:w="688" w:type="pct"/>
            <w:vAlign w:val="center"/>
          </w:tcPr>
          <w:p w14:paraId="03375EFC">
            <w:pPr>
              <w:pStyle w:val="12"/>
              <w:jc w:val="center"/>
              <w:rPr>
                <w:rFonts w:ascii="Times New Roman" w:hAnsi="Times New Roman"/>
                <w:color w:val="auto"/>
                <w:highlight w:val="none"/>
              </w:rPr>
            </w:pPr>
          </w:p>
        </w:tc>
        <w:tc>
          <w:tcPr>
            <w:tcW w:w="590" w:type="pct"/>
            <w:vAlign w:val="center"/>
          </w:tcPr>
          <w:p w14:paraId="4F8829E1">
            <w:pPr>
              <w:pStyle w:val="12"/>
              <w:jc w:val="center"/>
              <w:rPr>
                <w:rFonts w:ascii="Times New Roman" w:hAnsi="Times New Roman"/>
                <w:color w:val="auto"/>
                <w:highlight w:val="none"/>
              </w:rPr>
            </w:pPr>
          </w:p>
        </w:tc>
      </w:tr>
      <w:tr w14:paraId="3FB1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42DA281D">
            <w:pPr>
              <w:pStyle w:val="12"/>
              <w:jc w:val="center"/>
              <w:rPr>
                <w:rFonts w:ascii="Times New Roman" w:hAnsi="Times New Roman"/>
                <w:color w:val="auto"/>
                <w:highlight w:val="none"/>
              </w:rPr>
            </w:pPr>
            <w:r>
              <w:rPr>
                <w:rFonts w:ascii="Times New Roman" w:hAnsi="Times New Roman"/>
                <w:color w:val="auto"/>
                <w:highlight w:val="none"/>
              </w:rPr>
              <w:t>3</w:t>
            </w:r>
          </w:p>
        </w:tc>
        <w:tc>
          <w:tcPr>
            <w:tcW w:w="741" w:type="pct"/>
            <w:vAlign w:val="center"/>
          </w:tcPr>
          <w:p w14:paraId="2F3B0C32">
            <w:pPr>
              <w:pStyle w:val="12"/>
              <w:jc w:val="center"/>
              <w:rPr>
                <w:rFonts w:ascii="Times New Roman" w:hAnsi="Times New Roman"/>
                <w:color w:val="auto"/>
                <w:highlight w:val="none"/>
              </w:rPr>
            </w:pPr>
          </w:p>
        </w:tc>
        <w:tc>
          <w:tcPr>
            <w:tcW w:w="494" w:type="pct"/>
            <w:vAlign w:val="center"/>
          </w:tcPr>
          <w:p w14:paraId="58D47403">
            <w:pPr>
              <w:pStyle w:val="12"/>
              <w:jc w:val="center"/>
              <w:rPr>
                <w:rFonts w:ascii="Times New Roman" w:hAnsi="Times New Roman"/>
                <w:color w:val="auto"/>
                <w:highlight w:val="none"/>
              </w:rPr>
            </w:pPr>
          </w:p>
        </w:tc>
        <w:tc>
          <w:tcPr>
            <w:tcW w:w="494" w:type="pct"/>
            <w:vAlign w:val="center"/>
          </w:tcPr>
          <w:p w14:paraId="563A7B1F">
            <w:pPr>
              <w:pStyle w:val="12"/>
              <w:jc w:val="center"/>
              <w:rPr>
                <w:rFonts w:ascii="Times New Roman" w:hAnsi="Times New Roman"/>
                <w:color w:val="auto"/>
                <w:highlight w:val="none"/>
              </w:rPr>
            </w:pPr>
          </w:p>
        </w:tc>
        <w:tc>
          <w:tcPr>
            <w:tcW w:w="493" w:type="pct"/>
            <w:vAlign w:val="center"/>
          </w:tcPr>
          <w:p w14:paraId="72A1A14D">
            <w:pPr>
              <w:pStyle w:val="12"/>
              <w:jc w:val="center"/>
              <w:rPr>
                <w:rFonts w:ascii="Times New Roman" w:hAnsi="Times New Roman"/>
                <w:color w:val="auto"/>
                <w:highlight w:val="none"/>
              </w:rPr>
            </w:pPr>
          </w:p>
        </w:tc>
        <w:tc>
          <w:tcPr>
            <w:tcW w:w="328" w:type="pct"/>
            <w:vAlign w:val="center"/>
          </w:tcPr>
          <w:p w14:paraId="590D1A2C">
            <w:pPr>
              <w:pStyle w:val="12"/>
              <w:jc w:val="center"/>
              <w:rPr>
                <w:rFonts w:ascii="Times New Roman" w:hAnsi="Times New Roman"/>
                <w:color w:val="auto"/>
                <w:highlight w:val="none"/>
              </w:rPr>
            </w:pPr>
          </w:p>
        </w:tc>
        <w:tc>
          <w:tcPr>
            <w:tcW w:w="614" w:type="pct"/>
            <w:vAlign w:val="center"/>
          </w:tcPr>
          <w:p w14:paraId="5089E0E1">
            <w:pPr>
              <w:pStyle w:val="12"/>
              <w:jc w:val="center"/>
              <w:rPr>
                <w:rFonts w:ascii="Times New Roman" w:hAnsi="Times New Roman"/>
                <w:color w:val="auto"/>
                <w:highlight w:val="none"/>
              </w:rPr>
            </w:pPr>
          </w:p>
        </w:tc>
        <w:tc>
          <w:tcPr>
            <w:tcW w:w="688" w:type="pct"/>
            <w:vAlign w:val="center"/>
          </w:tcPr>
          <w:p w14:paraId="2F283CB8">
            <w:pPr>
              <w:pStyle w:val="12"/>
              <w:jc w:val="center"/>
              <w:rPr>
                <w:rFonts w:ascii="Times New Roman" w:hAnsi="Times New Roman"/>
                <w:color w:val="auto"/>
                <w:highlight w:val="none"/>
              </w:rPr>
            </w:pPr>
          </w:p>
        </w:tc>
        <w:tc>
          <w:tcPr>
            <w:tcW w:w="590" w:type="pct"/>
            <w:vAlign w:val="center"/>
          </w:tcPr>
          <w:p w14:paraId="2C122B1A">
            <w:pPr>
              <w:pStyle w:val="12"/>
              <w:jc w:val="center"/>
              <w:rPr>
                <w:rFonts w:ascii="Times New Roman" w:hAnsi="Times New Roman"/>
                <w:color w:val="auto"/>
                <w:highlight w:val="none"/>
              </w:rPr>
            </w:pPr>
          </w:p>
        </w:tc>
      </w:tr>
      <w:tr w14:paraId="1C90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4ECCE86E">
            <w:pPr>
              <w:pStyle w:val="12"/>
              <w:jc w:val="center"/>
              <w:rPr>
                <w:rFonts w:ascii="Times New Roman" w:hAnsi="Times New Roman"/>
                <w:color w:val="auto"/>
                <w:highlight w:val="none"/>
              </w:rPr>
            </w:pPr>
            <w:r>
              <w:rPr>
                <w:rFonts w:hint="eastAsia" w:ascii="MS Mincho" w:hAnsi="MS Mincho" w:eastAsia="MS Mincho" w:cs="MS Mincho"/>
                <w:color w:val="auto"/>
                <w:highlight w:val="none"/>
              </w:rPr>
              <w:t>⋮</w:t>
            </w:r>
          </w:p>
        </w:tc>
        <w:tc>
          <w:tcPr>
            <w:tcW w:w="741" w:type="pct"/>
            <w:vAlign w:val="center"/>
          </w:tcPr>
          <w:p w14:paraId="7247AB7A">
            <w:pPr>
              <w:pStyle w:val="12"/>
              <w:jc w:val="center"/>
              <w:rPr>
                <w:rFonts w:ascii="Times New Roman" w:hAnsi="Times New Roman"/>
                <w:color w:val="auto"/>
                <w:highlight w:val="none"/>
              </w:rPr>
            </w:pPr>
          </w:p>
        </w:tc>
        <w:tc>
          <w:tcPr>
            <w:tcW w:w="494" w:type="pct"/>
            <w:vAlign w:val="center"/>
          </w:tcPr>
          <w:p w14:paraId="56AB4FC1">
            <w:pPr>
              <w:pStyle w:val="12"/>
              <w:jc w:val="center"/>
              <w:rPr>
                <w:rFonts w:ascii="Times New Roman" w:hAnsi="Times New Roman"/>
                <w:color w:val="auto"/>
                <w:highlight w:val="none"/>
              </w:rPr>
            </w:pPr>
          </w:p>
        </w:tc>
        <w:tc>
          <w:tcPr>
            <w:tcW w:w="494" w:type="pct"/>
            <w:vAlign w:val="center"/>
          </w:tcPr>
          <w:p w14:paraId="3066A0D5">
            <w:pPr>
              <w:pStyle w:val="12"/>
              <w:jc w:val="center"/>
              <w:rPr>
                <w:rFonts w:ascii="Times New Roman" w:hAnsi="Times New Roman"/>
                <w:color w:val="auto"/>
                <w:highlight w:val="none"/>
              </w:rPr>
            </w:pPr>
          </w:p>
        </w:tc>
        <w:tc>
          <w:tcPr>
            <w:tcW w:w="493" w:type="pct"/>
            <w:vAlign w:val="center"/>
          </w:tcPr>
          <w:p w14:paraId="3E754E96">
            <w:pPr>
              <w:pStyle w:val="12"/>
              <w:jc w:val="center"/>
              <w:rPr>
                <w:rFonts w:ascii="Times New Roman" w:hAnsi="Times New Roman"/>
                <w:color w:val="auto"/>
                <w:highlight w:val="none"/>
              </w:rPr>
            </w:pPr>
          </w:p>
        </w:tc>
        <w:tc>
          <w:tcPr>
            <w:tcW w:w="328" w:type="pct"/>
            <w:vAlign w:val="center"/>
          </w:tcPr>
          <w:p w14:paraId="4174C2D6">
            <w:pPr>
              <w:pStyle w:val="12"/>
              <w:jc w:val="center"/>
              <w:rPr>
                <w:rFonts w:ascii="Times New Roman" w:hAnsi="Times New Roman"/>
                <w:color w:val="auto"/>
                <w:highlight w:val="none"/>
              </w:rPr>
            </w:pPr>
          </w:p>
        </w:tc>
        <w:tc>
          <w:tcPr>
            <w:tcW w:w="614" w:type="pct"/>
            <w:vAlign w:val="center"/>
          </w:tcPr>
          <w:p w14:paraId="3801708C">
            <w:pPr>
              <w:pStyle w:val="12"/>
              <w:jc w:val="center"/>
              <w:rPr>
                <w:rFonts w:ascii="Times New Roman" w:hAnsi="Times New Roman"/>
                <w:color w:val="auto"/>
                <w:highlight w:val="none"/>
              </w:rPr>
            </w:pPr>
          </w:p>
        </w:tc>
        <w:tc>
          <w:tcPr>
            <w:tcW w:w="688" w:type="pct"/>
            <w:vAlign w:val="center"/>
          </w:tcPr>
          <w:p w14:paraId="4C99015E">
            <w:pPr>
              <w:pStyle w:val="12"/>
              <w:jc w:val="center"/>
              <w:rPr>
                <w:rFonts w:ascii="Times New Roman" w:hAnsi="Times New Roman"/>
                <w:color w:val="auto"/>
                <w:highlight w:val="none"/>
              </w:rPr>
            </w:pPr>
          </w:p>
        </w:tc>
        <w:tc>
          <w:tcPr>
            <w:tcW w:w="590" w:type="pct"/>
            <w:vAlign w:val="center"/>
          </w:tcPr>
          <w:p w14:paraId="04A5030C">
            <w:pPr>
              <w:pStyle w:val="12"/>
              <w:jc w:val="center"/>
              <w:rPr>
                <w:rFonts w:ascii="Times New Roman" w:hAnsi="Times New Roman"/>
                <w:color w:val="auto"/>
                <w:highlight w:val="none"/>
              </w:rPr>
            </w:pPr>
          </w:p>
        </w:tc>
      </w:tr>
      <w:tr w14:paraId="728A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14:paraId="62FEF1D4">
            <w:pPr>
              <w:pStyle w:val="12"/>
              <w:jc w:val="left"/>
              <w:rPr>
                <w:rFonts w:ascii="Times New Roman" w:hAnsi="Times New Roman"/>
                <w:color w:val="auto"/>
                <w:highlight w:val="none"/>
              </w:rPr>
            </w:pPr>
            <w:r>
              <w:rPr>
                <w:rFonts w:ascii="Times New Roman" w:hAnsi="Times New Roman"/>
                <w:color w:val="auto"/>
                <w:highlight w:val="none"/>
              </w:rPr>
              <w:t>备品备件(包括专用工具等)</w:t>
            </w:r>
          </w:p>
        </w:tc>
        <w:tc>
          <w:tcPr>
            <w:tcW w:w="494" w:type="pct"/>
            <w:vAlign w:val="center"/>
          </w:tcPr>
          <w:p w14:paraId="4E7214E2">
            <w:pPr>
              <w:pStyle w:val="12"/>
              <w:jc w:val="center"/>
              <w:rPr>
                <w:rFonts w:ascii="Times New Roman" w:hAnsi="Times New Roman"/>
                <w:color w:val="auto"/>
                <w:highlight w:val="none"/>
              </w:rPr>
            </w:pPr>
          </w:p>
        </w:tc>
        <w:tc>
          <w:tcPr>
            <w:tcW w:w="494" w:type="pct"/>
            <w:vAlign w:val="center"/>
          </w:tcPr>
          <w:p w14:paraId="3DA0C21D">
            <w:pPr>
              <w:pStyle w:val="12"/>
              <w:jc w:val="center"/>
              <w:rPr>
                <w:rFonts w:ascii="Times New Roman" w:hAnsi="Times New Roman"/>
                <w:color w:val="auto"/>
                <w:highlight w:val="none"/>
              </w:rPr>
            </w:pPr>
          </w:p>
        </w:tc>
        <w:tc>
          <w:tcPr>
            <w:tcW w:w="493" w:type="pct"/>
            <w:vAlign w:val="center"/>
          </w:tcPr>
          <w:p w14:paraId="38252357">
            <w:pPr>
              <w:pStyle w:val="12"/>
              <w:jc w:val="center"/>
              <w:rPr>
                <w:rFonts w:ascii="Times New Roman" w:hAnsi="Times New Roman"/>
                <w:color w:val="auto"/>
                <w:highlight w:val="none"/>
              </w:rPr>
            </w:pPr>
          </w:p>
        </w:tc>
        <w:tc>
          <w:tcPr>
            <w:tcW w:w="328" w:type="pct"/>
            <w:vAlign w:val="center"/>
          </w:tcPr>
          <w:p w14:paraId="6C7FDBD7">
            <w:pPr>
              <w:pStyle w:val="12"/>
              <w:jc w:val="center"/>
              <w:rPr>
                <w:rFonts w:ascii="Times New Roman" w:hAnsi="Times New Roman"/>
                <w:color w:val="auto"/>
                <w:highlight w:val="none"/>
              </w:rPr>
            </w:pPr>
          </w:p>
        </w:tc>
        <w:tc>
          <w:tcPr>
            <w:tcW w:w="614" w:type="pct"/>
            <w:vAlign w:val="center"/>
          </w:tcPr>
          <w:p w14:paraId="4B024F8C">
            <w:pPr>
              <w:pStyle w:val="12"/>
              <w:jc w:val="center"/>
              <w:rPr>
                <w:rFonts w:ascii="Times New Roman" w:hAnsi="Times New Roman"/>
                <w:color w:val="auto"/>
                <w:highlight w:val="none"/>
              </w:rPr>
            </w:pPr>
          </w:p>
        </w:tc>
        <w:tc>
          <w:tcPr>
            <w:tcW w:w="688" w:type="pct"/>
            <w:vAlign w:val="center"/>
          </w:tcPr>
          <w:p w14:paraId="0A9CAD6C">
            <w:pPr>
              <w:pStyle w:val="12"/>
              <w:jc w:val="center"/>
              <w:rPr>
                <w:rFonts w:ascii="Times New Roman" w:hAnsi="Times New Roman"/>
                <w:color w:val="auto"/>
                <w:highlight w:val="none"/>
              </w:rPr>
            </w:pPr>
          </w:p>
        </w:tc>
        <w:tc>
          <w:tcPr>
            <w:tcW w:w="590" w:type="pct"/>
            <w:vAlign w:val="center"/>
          </w:tcPr>
          <w:p w14:paraId="41653842">
            <w:pPr>
              <w:pStyle w:val="12"/>
              <w:jc w:val="center"/>
              <w:rPr>
                <w:rFonts w:ascii="Times New Roman" w:hAnsi="Times New Roman"/>
                <w:color w:val="auto"/>
                <w:highlight w:val="none"/>
              </w:rPr>
            </w:pPr>
          </w:p>
        </w:tc>
      </w:tr>
      <w:tr w14:paraId="480F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14:paraId="19052DDD">
            <w:pPr>
              <w:pStyle w:val="12"/>
              <w:jc w:val="left"/>
              <w:rPr>
                <w:rFonts w:ascii="Times New Roman" w:hAnsi="Times New Roman"/>
                <w:color w:val="auto"/>
                <w:highlight w:val="none"/>
              </w:rPr>
            </w:pPr>
            <w:r>
              <w:rPr>
                <w:rFonts w:ascii="Times New Roman" w:hAnsi="Times New Roman"/>
                <w:color w:val="auto"/>
                <w:highlight w:val="none"/>
              </w:rPr>
              <w:t>耗材</w:t>
            </w:r>
          </w:p>
        </w:tc>
        <w:tc>
          <w:tcPr>
            <w:tcW w:w="494" w:type="pct"/>
            <w:vAlign w:val="center"/>
          </w:tcPr>
          <w:p w14:paraId="1F9C5002">
            <w:pPr>
              <w:pStyle w:val="12"/>
              <w:jc w:val="center"/>
              <w:rPr>
                <w:rFonts w:ascii="Times New Roman" w:hAnsi="Times New Roman"/>
                <w:color w:val="auto"/>
                <w:highlight w:val="none"/>
              </w:rPr>
            </w:pPr>
          </w:p>
        </w:tc>
        <w:tc>
          <w:tcPr>
            <w:tcW w:w="494" w:type="pct"/>
            <w:vAlign w:val="center"/>
          </w:tcPr>
          <w:p w14:paraId="2D83412F">
            <w:pPr>
              <w:pStyle w:val="12"/>
              <w:jc w:val="center"/>
              <w:rPr>
                <w:rFonts w:ascii="Times New Roman" w:hAnsi="Times New Roman"/>
                <w:color w:val="auto"/>
                <w:highlight w:val="none"/>
              </w:rPr>
            </w:pPr>
          </w:p>
        </w:tc>
        <w:tc>
          <w:tcPr>
            <w:tcW w:w="493" w:type="pct"/>
            <w:vAlign w:val="center"/>
          </w:tcPr>
          <w:p w14:paraId="4353B74B">
            <w:pPr>
              <w:pStyle w:val="12"/>
              <w:jc w:val="center"/>
              <w:rPr>
                <w:rFonts w:ascii="Times New Roman" w:hAnsi="Times New Roman"/>
                <w:color w:val="auto"/>
                <w:highlight w:val="none"/>
              </w:rPr>
            </w:pPr>
          </w:p>
        </w:tc>
        <w:tc>
          <w:tcPr>
            <w:tcW w:w="328" w:type="pct"/>
            <w:vAlign w:val="center"/>
          </w:tcPr>
          <w:p w14:paraId="1253D4A3">
            <w:pPr>
              <w:pStyle w:val="12"/>
              <w:jc w:val="center"/>
              <w:rPr>
                <w:rFonts w:ascii="Times New Roman" w:hAnsi="Times New Roman"/>
                <w:color w:val="auto"/>
                <w:highlight w:val="none"/>
              </w:rPr>
            </w:pPr>
          </w:p>
        </w:tc>
        <w:tc>
          <w:tcPr>
            <w:tcW w:w="614" w:type="pct"/>
            <w:vAlign w:val="center"/>
          </w:tcPr>
          <w:p w14:paraId="0FA36A18">
            <w:pPr>
              <w:pStyle w:val="12"/>
              <w:jc w:val="center"/>
              <w:rPr>
                <w:rFonts w:ascii="Times New Roman" w:hAnsi="Times New Roman"/>
                <w:color w:val="auto"/>
                <w:highlight w:val="none"/>
              </w:rPr>
            </w:pPr>
          </w:p>
        </w:tc>
        <w:tc>
          <w:tcPr>
            <w:tcW w:w="688" w:type="pct"/>
            <w:vAlign w:val="center"/>
          </w:tcPr>
          <w:p w14:paraId="05DCF0A9">
            <w:pPr>
              <w:pStyle w:val="12"/>
              <w:jc w:val="center"/>
              <w:rPr>
                <w:rFonts w:ascii="Times New Roman" w:hAnsi="Times New Roman"/>
                <w:color w:val="auto"/>
                <w:highlight w:val="none"/>
              </w:rPr>
            </w:pPr>
          </w:p>
        </w:tc>
        <w:tc>
          <w:tcPr>
            <w:tcW w:w="590" w:type="pct"/>
            <w:vAlign w:val="center"/>
          </w:tcPr>
          <w:p w14:paraId="065727CF">
            <w:pPr>
              <w:pStyle w:val="12"/>
              <w:jc w:val="center"/>
              <w:rPr>
                <w:rFonts w:ascii="Times New Roman" w:hAnsi="Times New Roman"/>
                <w:color w:val="auto"/>
                <w:highlight w:val="none"/>
              </w:rPr>
            </w:pPr>
          </w:p>
        </w:tc>
      </w:tr>
      <w:tr w14:paraId="466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14:paraId="6247146A">
            <w:pPr>
              <w:pStyle w:val="12"/>
              <w:jc w:val="left"/>
              <w:rPr>
                <w:rFonts w:ascii="Times New Roman" w:hAnsi="Times New Roman"/>
                <w:color w:val="auto"/>
                <w:highlight w:val="none"/>
              </w:rPr>
            </w:pPr>
            <w:r>
              <w:rPr>
                <w:rFonts w:ascii="Times New Roman" w:hAnsi="Times New Roman"/>
                <w:color w:val="auto"/>
                <w:highlight w:val="none"/>
              </w:rPr>
              <w:t>货物费合计</w:t>
            </w:r>
          </w:p>
        </w:tc>
        <w:tc>
          <w:tcPr>
            <w:tcW w:w="3701" w:type="pct"/>
            <w:gridSpan w:val="7"/>
            <w:vAlign w:val="center"/>
          </w:tcPr>
          <w:p w14:paraId="47480705">
            <w:pPr>
              <w:pStyle w:val="12"/>
              <w:jc w:val="center"/>
              <w:rPr>
                <w:rFonts w:ascii="Times New Roman" w:hAnsi="Times New Roman"/>
                <w:color w:val="auto"/>
                <w:highlight w:val="none"/>
              </w:rPr>
            </w:pPr>
          </w:p>
        </w:tc>
      </w:tr>
      <w:tr w14:paraId="11B9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vAlign w:val="center"/>
          </w:tcPr>
          <w:p w14:paraId="3FA4E9B1">
            <w:pPr>
              <w:pStyle w:val="12"/>
              <w:jc w:val="center"/>
              <w:rPr>
                <w:rFonts w:ascii="Times New Roman" w:hAnsi="Times New Roman"/>
                <w:color w:val="auto"/>
                <w:highlight w:val="none"/>
              </w:rPr>
            </w:pPr>
            <w:r>
              <w:rPr>
                <w:rFonts w:ascii="Times New Roman" w:hAnsi="Times New Roman"/>
                <w:color w:val="auto"/>
                <w:highlight w:val="none"/>
              </w:rPr>
              <w:t>包装</w:t>
            </w:r>
          </w:p>
          <w:p w14:paraId="2288FFCD">
            <w:pPr>
              <w:pStyle w:val="12"/>
              <w:jc w:val="center"/>
              <w:rPr>
                <w:rFonts w:ascii="Times New Roman" w:hAnsi="Times New Roman"/>
                <w:color w:val="auto"/>
                <w:highlight w:val="none"/>
              </w:rPr>
            </w:pPr>
            <w:r>
              <w:rPr>
                <w:rFonts w:ascii="Times New Roman" w:hAnsi="Times New Roman"/>
                <w:color w:val="auto"/>
                <w:highlight w:val="none"/>
              </w:rPr>
              <w:t>运输</w:t>
            </w:r>
          </w:p>
          <w:p w14:paraId="65740E2B">
            <w:pPr>
              <w:pStyle w:val="12"/>
              <w:jc w:val="center"/>
              <w:rPr>
                <w:rFonts w:ascii="Times New Roman" w:hAnsi="Times New Roman"/>
                <w:color w:val="auto"/>
                <w:highlight w:val="none"/>
              </w:rPr>
            </w:pPr>
            <w:r>
              <w:rPr>
                <w:rFonts w:ascii="Times New Roman" w:hAnsi="Times New Roman"/>
                <w:color w:val="auto"/>
                <w:highlight w:val="none"/>
              </w:rPr>
              <w:t>费</w:t>
            </w:r>
          </w:p>
        </w:tc>
        <w:tc>
          <w:tcPr>
            <w:tcW w:w="1235" w:type="pct"/>
            <w:gridSpan w:val="2"/>
            <w:vAlign w:val="center"/>
          </w:tcPr>
          <w:p w14:paraId="1CCB05FC">
            <w:pPr>
              <w:pStyle w:val="12"/>
              <w:jc w:val="center"/>
              <w:rPr>
                <w:rFonts w:ascii="Times New Roman" w:hAnsi="Times New Roman"/>
                <w:color w:val="auto"/>
                <w:highlight w:val="none"/>
              </w:rPr>
            </w:pPr>
            <w:r>
              <w:rPr>
                <w:rFonts w:ascii="Times New Roman" w:hAnsi="Times New Roman"/>
                <w:color w:val="auto"/>
                <w:highlight w:val="none"/>
              </w:rPr>
              <w:t>包装费</w:t>
            </w:r>
          </w:p>
        </w:tc>
        <w:tc>
          <w:tcPr>
            <w:tcW w:w="987" w:type="pct"/>
            <w:gridSpan w:val="2"/>
            <w:vAlign w:val="center"/>
          </w:tcPr>
          <w:p w14:paraId="0AF11EEC">
            <w:pPr>
              <w:pStyle w:val="12"/>
              <w:jc w:val="center"/>
              <w:rPr>
                <w:rFonts w:ascii="Times New Roman" w:hAnsi="Times New Roman"/>
                <w:color w:val="auto"/>
                <w:highlight w:val="none"/>
              </w:rPr>
            </w:pPr>
          </w:p>
        </w:tc>
        <w:tc>
          <w:tcPr>
            <w:tcW w:w="328" w:type="pct"/>
            <w:vMerge w:val="restart"/>
            <w:vAlign w:val="center"/>
          </w:tcPr>
          <w:p w14:paraId="6FA5F688">
            <w:pPr>
              <w:pStyle w:val="12"/>
              <w:jc w:val="center"/>
              <w:rPr>
                <w:rFonts w:ascii="Times New Roman" w:hAnsi="Times New Roman"/>
                <w:color w:val="auto"/>
                <w:highlight w:val="none"/>
              </w:rPr>
            </w:pPr>
            <w:r>
              <w:rPr>
                <w:rFonts w:ascii="Times New Roman" w:hAnsi="Times New Roman"/>
                <w:color w:val="auto"/>
                <w:highlight w:val="none"/>
              </w:rPr>
              <w:t>安装调试费</w:t>
            </w:r>
          </w:p>
        </w:tc>
        <w:tc>
          <w:tcPr>
            <w:tcW w:w="1302" w:type="pct"/>
            <w:gridSpan w:val="2"/>
            <w:vAlign w:val="center"/>
          </w:tcPr>
          <w:p w14:paraId="6DDF292E">
            <w:pPr>
              <w:pStyle w:val="12"/>
              <w:jc w:val="center"/>
              <w:rPr>
                <w:rFonts w:ascii="Times New Roman" w:hAnsi="Times New Roman"/>
                <w:color w:val="auto"/>
                <w:highlight w:val="none"/>
              </w:rPr>
            </w:pPr>
            <w:r>
              <w:rPr>
                <w:rFonts w:ascii="Times New Roman" w:hAnsi="Times New Roman"/>
                <w:color w:val="auto"/>
                <w:highlight w:val="none"/>
              </w:rPr>
              <w:t>安装费</w:t>
            </w:r>
          </w:p>
        </w:tc>
        <w:tc>
          <w:tcPr>
            <w:tcW w:w="590" w:type="pct"/>
            <w:vAlign w:val="center"/>
          </w:tcPr>
          <w:p w14:paraId="531DF4B6">
            <w:pPr>
              <w:pStyle w:val="12"/>
              <w:jc w:val="center"/>
              <w:rPr>
                <w:rFonts w:ascii="Times New Roman" w:hAnsi="Times New Roman"/>
                <w:color w:val="auto"/>
                <w:highlight w:val="none"/>
              </w:rPr>
            </w:pPr>
          </w:p>
        </w:tc>
      </w:tr>
      <w:tr w14:paraId="1163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33D723E9">
            <w:pPr>
              <w:pStyle w:val="12"/>
              <w:jc w:val="center"/>
              <w:rPr>
                <w:rFonts w:ascii="Times New Roman" w:hAnsi="Times New Roman"/>
                <w:color w:val="auto"/>
                <w:highlight w:val="none"/>
              </w:rPr>
            </w:pPr>
          </w:p>
        </w:tc>
        <w:tc>
          <w:tcPr>
            <w:tcW w:w="1235" w:type="pct"/>
            <w:gridSpan w:val="2"/>
            <w:vAlign w:val="center"/>
          </w:tcPr>
          <w:p w14:paraId="20411A0D">
            <w:pPr>
              <w:pStyle w:val="12"/>
              <w:jc w:val="center"/>
              <w:rPr>
                <w:rFonts w:ascii="Times New Roman" w:hAnsi="Times New Roman"/>
                <w:color w:val="auto"/>
                <w:highlight w:val="none"/>
              </w:rPr>
            </w:pPr>
            <w:r>
              <w:rPr>
                <w:rFonts w:ascii="Times New Roman" w:hAnsi="Times New Roman"/>
                <w:color w:val="auto"/>
                <w:highlight w:val="none"/>
              </w:rPr>
              <w:t>运输费</w:t>
            </w:r>
          </w:p>
        </w:tc>
        <w:tc>
          <w:tcPr>
            <w:tcW w:w="987" w:type="pct"/>
            <w:gridSpan w:val="2"/>
            <w:vAlign w:val="center"/>
          </w:tcPr>
          <w:p w14:paraId="2F04E54E">
            <w:pPr>
              <w:pStyle w:val="12"/>
              <w:jc w:val="center"/>
              <w:rPr>
                <w:rFonts w:ascii="Times New Roman" w:hAnsi="Times New Roman"/>
                <w:color w:val="auto"/>
                <w:highlight w:val="none"/>
              </w:rPr>
            </w:pPr>
          </w:p>
        </w:tc>
        <w:tc>
          <w:tcPr>
            <w:tcW w:w="328" w:type="pct"/>
            <w:vMerge w:val="continue"/>
            <w:vAlign w:val="center"/>
          </w:tcPr>
          <w:p w14:paraId="5CD1A132">
            <w:pPr>
              <w:pStyle w:val="12"/>
              <w:jc w:val="center"/>
              <w:rPr>
                <w:rFonts w:ascii="Times New Roman" w:hAnsi="Times New Roman"/>
                <w:color w:val="auto"/>
                <w:highlight w:val="none"/>
              </w:rPr>
            </w:pPr>
          </w:p>
        </w:tc>
        <w:tc>
          <w:tcPr>
            <w:tcW w:w="1302" w:type="pct"/>
            <w:gridSpan w:val="2"/>
            <w:vAlign w:val="center"/>
          </w:tcPr>
          <w:p w14:paraId="1B8A4629">
            <w:pPr>
              <w:pStyle w:val="12"/>
              <w:jc w:val="center"/>
              <w:rPr>
                <w:rFonts w:ascii="Times New Roman" w:hAnsi="Times New Roman"/>
                <w:color w:val="auto"/>
                <w:highlight w:val="none"/>
              </w:rPr>
            </w:pPr>
            <w:r>
              <w:rPr>
                <w:rFonts w:ascii="Times New Roman" w:hAnsi="Times New Roman"/>
                <w:color w:val="auto"/>
                <w:highlight w:val="none"/>
              </w:rPr>
              <w:t>调试费</w:t>
            </w:r>
          </w:p>
        </w:tc>
        <w:tc>
          <w:tcPr>
            <w:tcW w:w="590" w:type="pct"/>
            <w:vAlign w:val="center"/>
          </w:tcPr>
          <w:p w14:paraId="5FD75547">
            <w:pPr>
              <w:pStyle w:val="12"/>
              <w:jc w:val="center"/>
              <w:rPr>
                <w:rFonts w:ascii="Times New Roman" w:hAnsi="Times New Roman"/>
                <w:color w:val="auto"/>
                <w:highlight w:val="none"/>
              </w:rPr>
            </w:pPr>
          </w:p>
        </w:tc>
      </w:tr>
      <w:tr w14:paraId="1224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6B2D692A">
            <w:pPr>
              <w:pStyle w:val="12"/>
              <w:jc w:val="center"/>
              <w:rPr>
                <w:rFonts w:ascii="Times New Roman" w:hAnsi="Times New Roman"/>
                <w:color w:val="auto"/>
                <w:highlight w:val="none"/>
              </w:rPr>
            </w:pPr>
          </w:p>
        </w:tc>
        <w:tc>
          <w:tcPr>
            <w:tcW w:w="1235" w:type="pct"/>
            <w:gridSpan w:val="2"/>
            <w:vAlign w:val="center"/>
          </w:tcPr>
          <w:p w14:paraId="6E0D01A9">
            <w:pPr>
              <w:pStyle w:val="12"/>
              <w:jc w:val="center"/>
              <w:rPr>
                <w:rFonts w:ascii="Times New Roman" w:hAnsi="Times New Roman"/>
                <w:color w:val="auto"/>
                <w:highlight w:val="none"/>
              </w:rPr>
            </w:pPr>
            <w:r>
              <w:rPr>
                <w:rFonts w:ascii="Times New Roman" w:hAnsi="Times New Roman"/>
                <w:color w:val="auto"/>
                <w:highlight w:val="none"/>
              </w:rPr>
              <w:t>装卸费</w:t>
            </w:r>
          </w:p>
        </w:tc>
        <w:tc>
          <w:tcPr>
            <w:tcW w:w="987" w:type="pct"/>
            <w:gridSpan w:val="2"/>
            <w:vAlign w:val="center"/>
          </w:tcPr>
          <w:p w14:paraId="0A835E20">
            <w:pPr>
              <w:pStyle w:val="12"/>
              <w:jc w:val="center"/>
              <w:rPr>
                <w:rFonts w:ascii="Times New Roman" w:hAnsi="Times New Roman"/>
                <w:color w:val="auto"/>
                <w:highlight w:val="none"/>
              </w:rPr>
            </w:pPr>
          </w:p>
        </w:tc>
        <w:tc>
          <w:tcPr>
            <w:tcW w:w="328" w:type="pct"/>
            <w:vMerge w:val="continue"/>
            <w:vAlign w:val="center"/>
          </w:tcPr>
          <w:p w14:paraId="76F67FE8">
            <w:pPr>
              <w:pStyle w:val="12"/>
              <w:jc w:val="center"/>
              <w:rPr>
                <w:rFonts w:ascii="Times New Roman" w:hAnsi="Times New Roman"/>
                <w:color w:val="auto"/>
                <w:highlight w:val="none"/>
              </w:rPr>
            </w:pPr>
          </w:p>
        </w:tc>
        <w:tc>
          <w:tcPr>
            <w:tcW w:w="1302" w:type="pct"/>
            <w:gridSpan w:val="2"/>
            <w:vAlign w:val="center"/>
          </w:tcPr>
          <w:p w14:paraId="059EAB3A">
            <w:pPr>
              <w:pStyle w:val="12"/>
              <w:jc w:val="center"/>
              <w:rPr>
                <w:rFonts w:ascii="Times New Roman" w:hAnsi="Times New Roman"/>
                <w:color w:val="auto"/>
                <w:highlight w:val="none"/>
              </w:rPr>
            </w:pPr>
            <w:r>
              <w:rPr>
                <w:rFonts w:hAnsi="宋体"/>
                <w:color w:val="auto"/>
                <w:highlight w:val="none"/>
              </w:rPr>
              <w:t>…</w:t>
            </w:r>
          </w:p>
        </w:tc>
        <w:tc>
          <w:tcPr>
            <w:tcW w:w="590" w:type="pct"/>
            <w:vAlign w:val="center"/>
          </w:tcPr>
          <w:p w14:paraId="4E91F2F1">
            <w:pPr>
              <w:pStyle w:val="12"/>
              <w:jc w:val="center"/>
              <w:rPr>
                <w:rFonts w:ascii="Times New Roman" w:hAnsi="Times New Roman"/>
                <w:color w:val="auto"/>
                <w:highlight w:val="none"/>
              </w:rPr>
            </w:pPr>
          </w:p>
        </w:tc>
      </w:tr>
      <w:tr w14:paraId="1923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2F8B294C">
            <w:pPr>
              <w:pStyle w:val="12"/>
              <w:jc w:val="center"/>
              <w:rPr>
                <w:rFonts w:ascii="Times New Roman" w:hAnsi="Times New Roman"/>
                <w:color w:val="auto"/>
                <w:highlight w:val="none"/>
              </w:rPr>
            </w:pPr>
          </w:p>
        </w:tc>
        <w:tc>
          <w:tcPr>
            <w:tcW w:w="1235" w:type="pct"/>
            <w:gridSpan w:val="2"/>
            <w:vAlign w:val="center"/>
          </w:tcPr>
          <w:p w14:paraId="169EE47F">
            <w:pPr>
              <w:pStyle w:val="12"/>
              <w:jc w:val="center"/>
              <w:rPr>
                <w:rFonts w:ascii="Times New Roman" w:hAnsi="Times New Roman"/>
                <w:color w:val="auto"/>
                <w:highlight w:val="none"/>
              </w:rPr>
            </w:pPr>
            <w:r>
              <w:rPr>
                <w:rFonts w:ascii="Times New Roman" w:hAnsi="Times New Roman"/>
                <w:color w:val="auto"/>
                <w:highlight w:val="none"/>
              </w:rPr>
              <w:t>保险费</w:t>
            </w:r>
          </w:p>
        </w:tc>
        <w:tc>
          <w:tcPr>
            <w:tcW w:w="987" w:type="pct"/>
            <w:gridSpan w:val="2"/>
            <w:vAlign w:val="center"/>
          </w:tcPr>
          <w:p w14:paraId="7D8A7E72">
            <w:pPr>
              <w:pStyle w:val="12"/>
              <w:jc w:val="center"/>
              <w:rPr>
                <w:rFonts w:ascii="Times New Roman" w:hAnsi="Times New Roman"/>
                <w:color w:val="auto"/>
                <w:highlight w:val="none"/>
              </w:rPr>
            </w:pPr>
          </w:p>
        </w:tc>
        <w:tc>
          <w:tcPr>
            <w:tcW w:w="328" w:type="pct"/>
            <w:vMerge w:val="continue"/>
            <w:vAlign w:val="center"/>
          </w:tcPr>
          <w:p w14:paraId="376B204A">
            <w:pPr>
              <w:pStyle w:val="12"/>
              <w:jc w:val="center"/>
              <w:rPr>
                <w:rFonts w:ascii="Times New Roman" w:hAnsi="Times New Roman"/>
                <w:color w:val="auto"/>
                <w:highlight w:val="none"/>
              </w:rPr>
            </w:pPr>
          </w:p>
        </w:tc>
        <w:tc>
          <w:tcPr>
            <w:tcW w:w="1302" w:type="pct"/>
            <w:gridSpan w:val="2"/>
            <w:vAlign w:val="center"/>
          </w:tcPr>
          <w:p w14:paraId="232F94F5">
            <w:pPr>
              <w:pStyle w:val="12"/>
              <w:jc w:val="center"/>
              <w:rPr>
                <w:rFonts w:ascii="Times New Roman" w:hAnsi="Times New Roman"/>
                <w:color w:val="auto"/>
                <w:highlight w:val="none"/>
              </w:rPr>
            </w:pPr>
            <w:r>
              <w:rPr>
                <w:rFonts w:ascii="Times New Roman" w:hAnsi="Times New Roman"/>
                <w:color w:val="auto"/>
                <w:highlight w:val="none"/>
              </w:rPr>
              <w:t>小计</w:t>
            </w:r>
          </w:p>
        </w:tc>
        <w:tc>
          <w:tcPr>
            <w:tcW w:w="590" w:type="pct"/>
            <w:vAlign w:val="center"/>
          </w:tcPr>
          <w:p w14:paraId="7F4E79CA">
            <w:pPr>
              <w:pStyle w:val="12"/>
              <w:jc w:val="center"/>
              <w:rPr>
                <w:rFonts w:ascii="Times New Roman" w:hAnsi="Times New Roman"/>
                <w:color w:val="auto"/>
                <w:highlight w:val="none"/>
              </w:rPr>
            </w:pPr>
          </w:p>
        </w:tc>
      </w:tr>
      <w:tr w14:paraId="5AD1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1C9373FB">
            <w:pPr>
              <w:pStyle w:val="12"/>
              <w:jc w:val="center"/>
              <w:rPr>
                <w:rFonts w:ascii="Times New Roman" w:hAnsi="Times New Roman"/>
                <w:color w:val="auto"/>
                <w:highlight w:val="none"/>
              </w:rPr>
            </w:pPr>
          </w:p>
        </w:tc>
        <w:tc>
          <w:tcPr>
            <w:tcW w:w="1235" w:type="pct"/>
            <w:gridSpan w:val="2"/>
            <w:vAlign w:val="center"/>
          </w:tcPr>
          <w:p w14:paraId="3259FFD5">
            <w:pPr>
              <w:pStyle w:val="12"/>
              <w:jc w:val="center"/>
              <w:rPr>
                <w:rFonts w:ascii="Times New Roman" w:hAnsi="Times New Roman"/>
                <w:color w:val="auto"/>
                <w:highlight w:val="none"/>
              </w:rPr>
            </w:pPr>
            <w:r>
              <w:rPr>
                <w:rFonts w:hAnsi="宋体"/>
                <w:color w:val="auto"/>
                <w:highlight w:val="none"/>
              </w:rPr>
              <w:t>…</w:t>
            </w:r>
          </w:p>
        </w:tc>
        <w:tc>
          <w:tcPr>
            <w:tcW w:w="987" w:type="pct"/>
            <w:gridSpan w:val="2"/>
            <w:vAlign w:val="center"/>
          </w:tcPr>
          <w:p w14:paraId="31CDA8FC">
            <w:pPr>
              <w:pStyle w:val="12"/>
              <w:jc w:val="center"/>
              <w:rPr>
                <w:rFonts w:ascii="Times New Roman" w:hAnsi="Times New Roman"/>
                <w:color w:val="auto"/>
                <w:highlight w:val="none"/>
              </w:rPr>
            </w:pPr>
          </w:p>
        </w:tc>
        <w:tc>
          <w:tcPr>
            <w:tcW w:w="328" w:type="pct"/>
            <w:vMerge w:val="restart"/>
            <w:vAlign w:val="center"/>
          </w:tcPr>
          <w:p w14:paraId="3D3702E9">
            <w:pPr>
              <w:pStyle w:val="12"/>
              <w:jc w:val="center"/>
              <w:rPr>
                <w:rFonts w:ascii="Times New Roman" w:hAnsi="Times New Roman"/>
                <w:color w:val="auto"/>
                <w:highlight w:val="none"/>
              </w:rPr>
            </w:pPr>
            <w:r>
              <w:rPr>
                <w:rFonts w:ascii="Times New Roman" w:hAnsi="Times New Roman"/>
                <w:color w:val="auto"/>
                <w:highlight w:val="none"/>
              </w:rPr>
              <w:t>售后服务费</w:t>
            </w:r>
          </w:p>
        </w:tc>
        <w:tc>
          <w:tcPr>
            <w:tcW w:w="1302" w:type="pct"/>
            <w:gridSpan w:val="2"/>
            <w:vAlign w:val="center"/>
          </w:tcPr>
          <w:p w14:paraId="786354AD">
            <w:pPr>
              <w:pStyle w:val="12"/>
              <w:jc w:val="center"/>
              <w:rPr>
                <w:rFonts w:ascii="Times New Roman" w:hAnsi="Times New Roman"/>
                <w:color w:val="auto"/>
                <w:highlight w:val="none"/>
              </w:rPr>
            </w:pPr>
            <w:r>
              <w:rPr>
                <w:rFonts w:ascii="Times New Roman" w:hAnsi="Times New Roman"/>
                <w:color w:val="auto"/>
                <w:highlight w:val="none"/>
              </w:rPr>
              <w:t>培训费</w:t>
            </w:r>
          </w:p>
        </w:tc>
        <w:tc>
          <w:tcPr>
            <w:tcW w:w="590" w:type="pct"/>
            <w:vAlign w:val="center"/>
          </w:tcPr>
          <w:p w14:paraId="5E4711C6">
            <w:pPr>
              <w:pStyle w:val="12"/>
              <w:jc w:val="center"/>
              <w:rPr>
                <w:rFonts w:ascii="Times New Roman" w:hAnsi="Times New Roman"/>
                <w:color w:val="auto"/>
                <w:highlight w:val="none"/>
              </w:rPr>
            </w:pPr>
          </w:p>
        </w:tc>
      </w:tr>
      <w:tr w14:paraId="14DA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63B74F1E">
            <w:pPr>
              <w:pStyle w:val="12"/>
              <w:jc w:val="center"/>
              <w:rPr>
                <w:rFonts w:ascii="Times New Roman" w:hAnsi="Times New Roman"/>
                <w:color w:val="auto"/>
                <w:highlight w:val="none"/>
              </w:rPr>
            </w:pPr>
          </w:p>
        </w:tc>
        <w:tc>
          <w:tcPr>
            <w:tcW w:w="1235" w:type="pct"/>
            <w:gridSpan w:val="2"/>
            <w:vAlign w:val="center"/>
          </w:tcPr>
          <w:p w14:paraId="092C48ED">
            <w:pPr>
              <w:pStyle w:val="12"/>
              <w:jc w:val="center"/>
              <w:rPr>
                <w:rFonts w:ascii="Times New Roman" w:hAnsi="Times New Roman"/>
                <w:color w:val="auto"/>
                <w:highlight w:val="none"/>
              </w:rPr>
            </w:pPr>
            <w:r>
              <w:rPr>
                <w:rFonts w:ascii="Times New Roman" w:hAnsi="Times New Roman"/>
                <w:color w:val="auto"/>
                <w:highlight w:val="none"/>
              </w:rPr>
              <w:t>小计</w:t>
            </w:r>
          </w:p>
        </w:tc>
        <w:tc>
          <w:tcPr>
            <w:tcW w:w="987" w:type="pct"/>
            <w:gridSpan w:val="2"/>
            <w:vAlign w:val="center"/>
          </w:tcPr>
          <w:p w14:paraId="2D384842">
            <w:pPr>
              <w:pStyle w:val="12"/>
              <w:jc w:val="center"/>
              <w:rPr>
                <w:rFonts w:ascii="Times New Roman" w:hAnsi="Times New Roman"/>
                <w:color w:val="auto"/>
                <w:highlight w:val="none"/>
              </w:rPr>
            </w:pPr>
          </w:p>
        </w:tc>
        <w:tc>
          <w:tcPr>
            <w:tcW w:w="328" w:type="pct"/>
            <w:vMerge w:val="continue"/>
            <w:vAlign w:val="center"/>
          </w:tcPr>
          <w:p w14:paraId="18EC524A">
            <w:pPr>
              <w:pStyle w:val="12"/>
              <w:jc w:val="center"/>
              <w:rPr>
                <w:rFonts w:ascii="Times New Roman" w:hAnsi="Times New Roman"/>
                <w:color w:val="auto"/>
                <w:highlight w:val="none"/>
              </w:rPr>
            </w:pPr>
          </w:p>
        </w:tc>
        <w:tc>
          <w:tcPr>
            <w:tcW w:w="1302" w:type="pct"/>
            <w:gridSpan w:val="2"/>
            <w:vAlign w:val="center"/>
          </w:tcPr>
          <w:p w14:paraId="531F2B62">
            <w:pPr>
              <w:pStyle w:val="12"/>
              <w:jc w:val="center"/>
              <w:rPr>
                <w:rFonts w:ascii="Times New Roman" w:hAnsi="Times New Roman"/>
                <w:color w:val="auto"/>
                <w:highlight w:val="none"/>
              </w:rPr>
            </w:pPr>
            <w:r>
              <w:rPr>
                <w:rFonts w:ascii="Times New Roman" w:hAnsi="Times New Roman"/>
                <w:color w:val="auto"/>
                <w:highlight w:val="none"/>
              </w:rPr>
              <w:t>技术服务费</w:t>
            </w:r>
          </w:p>
        </w:tc>
        <w:tc>
          <w:tcPr>
            <w:tcW w:w="590" w:type="pct"/>
            <w:vAlign w:val="center"/>
          </w:tcPr>
          <w:p w14:paraId="58A1D407">
            <w:pPr>
              <w:pStyle w:val="12"/>
              <w:jc w:val="center"/>
              <w:rPr>
                <w:rFonts w:ascii="Times New Roman" w:hAnsi="Times New Roman"/>
                <w:color w:val="auto"/>
                <w:highlight w:val="none"/>
              </w:rPr>
            </w:pPr>
          </w:p>
        </w:tc>
      </w:tr>
      <w:tr w14:paraId="25D7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vAlign w:val="center"/>
          </w:tcPr>
          <w:p w14:paraId="2A70A507">
            <w:pPr>
              <w:pStyle w:val="12"/>
              <w:jc w:val="center"/>
              <w:rPr>
                <w:rFonts w:ascii="Times New Roman" w:hAnsi="Times New Roman"/>
                <w:color w:val="auto"/>
                <w:highlight w:val="none"/>
              </w:rPr>
            </w:pPr>
            <w:r>
              <w:rPr>
                <w:rFonts w:ascii="Times New Roman" w:hAnsi="Times New Roman"/>
                <w:color w:val="auto"/>
                <w:highlight w:val="none"/>
              </w:rPr>
              <w:t>其他</w:t>
            </w:r>
          </w:p>
          <w:p w14:paraId="265B27AE">
            <w:pPr>
              <w:pStyle w:val="12"/>
              <w:jc w:val="center"/>
              <w:rPr>
                <w:rFonts w:ascii="Times New Roman" w:hAnsi="Times New Roman"/>
                <w:color w:val="auto"/>
                <w:highlight w:val="none"/>
              </w:rPr>
            </w:pPr>
            <w:r>
              <w:rPr>
                <w:rFonts w:ascii="Times New Roman" w:hAnsi="Times New Roman"/>
                <w:color w:val="auto"/>
                <w:highlight w:val="none"/>
              </w:rPr>
              <w:t>费用</w:t>
            </w:r>
          </w:p>
        </w:tc>
        <w:tc>
          <w:tcPr>
            <w:tcW w:w="1235" w:type="pct"/>
            <w:gridSpan w:val="2"/>
            <w:vAlign w:val="center"/>
          </w:tcPr>
          <w:p w14:paraId="6C2173AC">
            <w:pPr>
              <w:pStyle w:val="12"/>
              <w:jc w:val="center"/>
              <w:rPr>
                <w:rFonts w:ascii="Times New Roman" w:hAnsi="Times New Roman"/>
                <w:color w:val="auto"/>
                <w:highlight w:val="none"/>
              </w:rPr>
            </w:pPr>
            <w:r>
              <w:rPr>
                <w:rFonts w:ascii="Times New Roman" w:hAnsi="Times New Roman"/>
                <w:color w:val="auto"/>
                <w:highlight w:val="none"/>
              </w:rPr>
              <w:t>代理费</w:t>
            </w:r>
          </w:p>
        </w:tc>
        <w:tc>
          <w:tcPr>
            <w:tcW w:w="987" w:type="pct"/>
            <w:gridSpan w:val="2"/>
            <w:vAlign w:val="center"/>
          </w:tcPr>
          <w:p w14:paraId="40A7C13C">
            <w:pPr>
              <w:pStyle w:val="12"/>
              <w:jc w:val="center"/>
              <w:rPr>
                <w:rFonts w:ascii="Times New Roman" w:hAnsi="Times New Roman"/>
                <w:color w:val="auto"/>
                <w:highlight w:val="none"/>
              </w:rPr>
            </w:pPr>
          </w:p>
        </w:tc>
        <w:tc>
          <w:tcPr>
            <w:tcW w:w="328" w:type="pct"/>
            <w:vMerge w:val="continue"/>
            <w:vAlign w:val="center"/>
          </w:tcPr>
          <w:p w14:paraId="4FFAAB46">
            <w:pPr>
              <w:pStyle w:val="12"/>
              <w:jc w:val="center"/>
              <w:rPr>
                <w:rFonts w:ascii="Times New Roman" w:hAnsi="Times New Roman"/>
                <w:color w:val="auto"/>
                <w:highlight w:val="none"/>
              </w:rPr>
            </w:pPr>
          </w:p>
        </w:tc>
        <w:tc>
          <w:tcPr>
            <w:tcW w:w="1302" w:type="pct"/>
            <w:gridSpan w:val="2"/>
            <w:vAlign w:val="center"/>
          </w:tcPr>
          <w:p w14:paraId="23BDFFDA">
            <w:pPr>
              <w:pStyle w:val="12"/>
              <w:jc w:val="center"/>
              <w:rPr>
                <w:rFonts w:ascii="Times New Roman" w:hAnsi="Times New Roman"/>
                <w:color w:val="auto"/>
                <w:highlight w:val="none"/>
              </w:rPr>
            </w:pPr>
            <w:r>
              <w:rPr>
                <w:rFonts w:hAnsi="宋体"/>
                <w:color w:val="auto"/>
                <w:highlight w:val="none"/>
              </w:rPr>
              <w:t>…</w:t>
            </w:r>
          </w:p>
        </w:tc>
        <w:tc>
          <w:tcPr>
            <w:tcW w:w="590" w:type="pct"/>
            <w:vAlign w:val="center"/>
          </w:tcPr>
          <w:p w14:paraId="1A3BCCB3">
            <w:pPr>
              <w:pStyle w:val="12"/>
              <w:jc w:val="center"/>
              <w:rPr>
                <w:rFonts w:ascii="Times New Roman" w:hAnsi="Times New Roman"/>
                <w:color w:val="auto"/>
                <w:highlight w:val="none"/>
              </w:rPr>
            </w:pPr>
          </w:p>
        </w:tc>
      </w:tr>
      <w:tr w14:paraId="6B97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2E117E97">
            <w:pPr>
              <w:pStyle w:val="12"/>
              <w:jc w:val="center"/>
              <w:rPr>
                <w:rFonts w:ascii="Times New Roman" w:hAnsi="Times New Roman"/>
                <w:color w:val="auto"/>
                <w:highlight w:val="none"/>
              </w:rPr>
            </w:pPr>
          </w:p>
        </w:tc>
        <w:tc>
          <w:tcPr>
            <w:tcW w:w="1235" w:type="pct"/>
            <w:gridSpan w:val="2"/>
            <w:vAlign w:val="center"/>
          </w:tcPr>
          <w:p w14:paraId="47B5EF12">
            <w:pPr>
              <w:pStyle w:val="12"/>
              <w:jc w:val="center"/>
              <w:rPr>
                <w:rFonts w:ascii="Times New Roman" w:hAnsi="Times New Roman"/>
                <w:color w:val="auto"/>
                <w:highlight w:val="none"/>
              </w:rPr>
            </w:pPr>
            <w:r>
              <w:rPr>
                <w:rFonts w:hAnsi="宋体"/>
                <w:color w:val="auto"/>
                <w:highlight w:val="none"/>
              </w:rPr>
              <w:t>…</w:t>
            </w:r>
          </w:p>
        </w:tc>
        <w:tc>
          <w:tcPr>
            <w:tcW w:w="987" w:type="pct"/>
            <w:gridSpan w:val="2"/>
            <w:vAlign w:val="center"/>
          </w:tcPr>
          <w:p w14:paraId="7CB03FEB">
            <w:pPr>
              <w:pStyle w:val="12"/>
              <w:jc w:val="center"/>
              <w:rPr>
                <w:rFonts w:ascii="Times New Roman" w:hAnsi="Times New Roman"/>
                <w:color w:val="auto"/>
                <w:highlight w:val="none"/>
              </w:rPr>
            </w:pPr>
          </w:p>
        </w:tc>
        <w:tc>
          <w:tcPr>
            <w:tcW w:w="328" w:type="pct"/>
            <w:vMerge w:val="continue"/>
            <w:vAlign w:val="center"/>
          </w:tcPr>
          <w:p w14:paraId="30CD3B02">
            <w:pPr>
              <w:pStyle w:val="12"/>
              <w:jc w:val="center"/>
              <w:rPr>
                <w:rFonts w:ascii="Times New Roman" w:hAnsi="Times New Roman"/>
                <w:color w:val="auto"/>
                <w:highlight w:val="none"/>
              </w:rPr>
            </w:pPr>
          </w:p>
        </w:tc>
        <w:tc>
          <w:tcPr>
            <w:tcW w:w="1302" w:type="pct"/>
            <w:gridSpan w:val="2"/>
            <w:vAlign w:val="center"/>
          </w:tcPr>
          <w:p w14:paraId="5CB28ED7">
            <w:pPr>
              <w:pStyle w:val="12"/>
              <w:jc w:val="center"/>
              <w:rPr>
                <w:rFonts w:ascii="Times New Roman" w:hAnsi="Times New Roman"/>
                <w:color w:val="auto"/>
                <w:highlight w:val="none"/>
              </w:rPr>
            </w:pPr>
          </w:p>
        </w:tc>
        <w:tc>
          <w:tcPr>
            <w:tcW w:w="590" w:type="pct"/>
            <w:vAlign w:val="center"/>
          </w:tcPr>
          <w:p w14:paraId="6EDE4645">
            <w:pPr>
              <w:pStyle w:val="12"/>
              <w:jc w:val="center"/>
              <w:rPr>
                <w:rFonts w:ascii="Times New Roman" w:hAnsi="Times New Roman"/>
                <w:color w:val="auto"/>
                <w:highlight w:val="none"/>
              </w:rPr>
            </w:pPr>
          </w:p>
        </w:tc>
      </w:tr>
      <w:tr w14:paraId="088F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14:paraId="25D079BC">
            <w:pPr>
              <w:pStyle w:val="12"/>
              <w:jc w:val="center"/>
              <w:rPr>
                <w:rFonts w:ascii="Times New Roman" w:hAnsi="Times New Roman"/>
                <w:color w:val="auto"/>
                <w:highlight w:val="none"/>
              </w:rPr>
            </w:pPr>
          </w:p>
        </w:tc>
        <w:tc>
          <w:tcPr>
            <w:tcW w:w="1235" w:type="pct"/>
            <w:gridSpan w:val="2"/>
            <w:vAlign w:val="center"/>
          </w:tcPr>
          <w:p w14:paraId="0C66D3EC">
            <w:pPr>
              <w:pStyle w:val="12"/>
              <w:jc w:val="center"/>
              <w:rPr>
                <w:rFonts w:ascii="Times New Roman" w:hAnsi="Times New Roman"/>
                <w:color w:val="auto"/>
                <w:highlight w:val="none"/>
              </w:rPr>
            </w:pPr>
            <w:r>
              <w:rPr>
                <w:rFonts w:ascii="Times New Roman" w:hAnsi="Times New Roman"/>
                <w:color w:val="auto"/>
                <w:highlight w:val="none"/>
              </w:rPr>
              <w:t>小计</w:t>
            </w:r>
          </w:p>
        </w:tc>
        <w:tc>
          <w:tcPr>
            <w:tcW w:w="987" w:type="pct"/>
            <w:gridSpan w:val="2"/>
            <w:vAlign w:val="center"/>
          </w:tcPr>
          <w:p w14:paraId="2196985F">
            <w:pPr>
              <w:pStyle w:val="12"/>
              <w:jc w:val="center"/>
              <w:rPr>
                <w:rFonts w:ascii="Times New Roman" w:hAnsi="Times New Roman"/>
                <w:color w:val="auto"/>
                <w:highlight w:val="none"/>
              </w:rPr>
            </w:pPr>
          </w:p>
        </w:tc>
        <w:tc>
          <w:tcPr>
            <w:tcW w:w="328" w:type="pct"/>
            <w:vMerge w:val="continue"/>
            <w:vAlign w:val="center"/>
          </w:tcPr>
          <w:p w14:paraId="427D4DA2">
            <w:pPr>
              <w:pStyle w:val="12"/>
              <w:jc w:val="center"/>
              <w:rPr>
                <w:rFonts w:ascii="Times New Roman" w:hAnsi="Times New Roman"/>
                <w:color w:val="auto"/>
                <w:highlight w:val="none"/>
              </w:rPr>
            </w:pPr>
          </w:p>
        </w:tc>
        <w:tc>
          <w:tcPr>
            <w:tcW w:w="1302" w:type="pct"/>
            <w:gridSpan w:val="2"/>
            <w:vAlign w:val="center"/>
          </w:tcPr>
          <w:p w14:paraId="470FA2F8">
            <w:pPr>
              <w:pStyle w:val="12"/>
              <w:jc w:val="center"/>
              <w:rPr>
                <w:rFonts w:ascii="Times New Roman" w:hAnsi="Times New Roman"/>
                <w:color w:val="auto"/>
                <w:highlight w:val="none"/>
              </w:rPr>
            </w:pPr>
            <w:r>
              <w:rPr>
                <w:rFonts w:ascii="Times New Roman" w:hAnsi="Times New Roman"/>
                <w:color w:val="auto"/>
                <w:highlight w:val="none"/>
              </w:rPr>
              <w:t>小计</w:t>
            </w:r>
          </w:p>
        </w:tc>
        <w:tc>
          <w:tcPr>
            <w:tcW w:w="590" w:type="pct"/>
            <w:vAlign w:val="center"/>
          </w:tcPr>
          <w:p w14:paraId="119E3748">
            <w:pPr>
              <w:pStyle w:val="12"/>
              <w:jc w:val="center"/>
              <w:rPr>
                <w:rFonts w:ascii="Times New Roman" w:hAnsi="Times New Roman"/>
                <w:color w:val="auto"/>
                <w:highlight w:val="none"/>
              </w:rPr>
            </w:pPr>
          </w:p>
        </w:tc>
      </w:tr>
    </w:tbl>
    <w:p w14:paraId="5C037FA9">
      <w:pPr>
        <w:topLinePunct/>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特别说明：</w:t>
      </w:r>
    </w:p>
    <w:p w14:paraId="6713AD6F">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14:paraId="4B7BE7C3">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14:paraId="0C8F99BA">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本表仅供参考，可扩展。</w:t>
      </w:r>
    </w:p>
    <w:p w14:paraId="38449C75">
      <w:pPr>
        <w:pStyle w:val="12"/>
        <w:ind w:firstLine="420" w:firstLineChars="200"/>
        <w:rPr>
          <w:rFonts w:ascii="Times New Roman" w:hAnsi="Times New Roman"/>
          <w:color w:val="auto"/>
          <w:highlight w:val="none"/>
        </w:rPr>
      </w:pPr>
    </w:p>
    <w:p w14:paraId="3A63CF7D">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4230BCB9">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4FB0D4C4">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263450E8">
      <w:pPr>
        <w:widowControl/>
        <w:jc w:val="center"/>
        <w:rPr>
          <w:rFonts w:hint="eastAsia" w:ascii="宋体" w:hAnsi="宋体" w:cs="宋体"/>
          <w:b/>
          <w:color w:val="auto"/>
          <w:sz w:val="28"/>
          <w:highlight w:val="none"/>
        </w:rPr>
      </w:pPr>
      <w:r>
        <w:rPr>
          <w:rFonts w:ascii="宋体" w:hAnsi="宋体" w:cs="宋体"/>
          <w:b/>
          <w:color w:val="auto"/>
          <w:szCs w:val="21"/>
          <w:highlight w:val="none"/>
        </w:rPr>
        <w:br w:type="page"/>
      </w:r>
      <w:r>
        <w:rPr>
          <w:rFonts w:ascii="宋体" w:hAnsi="宋体" w:cs="宋体"/>
          <w:b/>
          <w:color w:val="auto"/>
          <w:sz w:val="28"/>
          <w:highlight w:val="none"/>
        </w:rPr>
        <w:t>2.</w:t>
      </w:r>
      <w:r>
        <w:rPr>
          <w:rFonts w:hint="eastAsia" w:ascii="宋体" w:hAnsi="宋体" w:cs="宋体"/>
          <w:b/>
          <w:color w:val="auto"/>
          <w:sz w:val="28"/>
          <w:highlight w:val="none"/>
        </w:rPr>
        <w:t>2分项报价表</w:t>
      </w:r>
    </w:p>
    <w:p w14:paraId="49A89201">
      <w:pPr>
        <w:pStyle w:val="12"/>
        <w:topLinePunct/>
        <w:autoSpaceDE w:val="0"/>
        <w:autoSpaceDN w:val="0"/>
        <w:adjustRightInd w:val="0"/>
        <w:snapToGrid w:val="0"/>
        <w:spacing w:line="360" w:lineRule="auto"/>
        <w:ind w:left="2"/>
        <w:jc w:val="center"/>
        <w:rPr>
          <w:rFonts w:hint="eastAsia" w:hAnsi="宋体" w:cs="宋体"/>
          <w:b/>
          <w:bCs/>
          <w:color w:val="auto"/>
          <w:highlight w:val="none"/>
        </w:rPr>
      </w:pPr>
      <w:r>
        <w:rPr>
          <w:rFonts w:hint="eastAsia" w:hAnsi="宋体" w:cs="宋体"/>
          <w:color w:val="auto"/>
          <w:highlight w:val="none"/>
        </w:rPr>
        <w:t>（服务类项目适用)</w:t>
      </w:r>
    </w:p>
    <w:p w14:paraId="0D44CCE8">
      <w:pPr>
        <w:topLinePunct/>
        <w:autoSpaceDE w:val="0"/>
        <w:autoSpaceDN w:val="0"/>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5C2C0CE">
      <w:pPr>
        <w:adjustRightInd w:val="0"/>
        <w:snapToGrid w:val="0"/>
        <w:spacing w:line="360" w:lineRule="auto"/>
        <w:ind w:right="840"/>
        <w:rPr>
          <w:rFonts w:hint="eastAsia"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67F02535">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74FF982E">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692" w:type="dxa"/>
            <w:tcBorders>
              <w:top w:val="single" w:color="auto" w:sz="4" w:space="0"/>
              <w:left w:val="nil"/>
              <w:bottom w:val="single" w:color="auto" w:sz="4" w:space="0"/>
              <w:right w:val="single" w:color="auto" w:sz="4" w:space="0"/>
            </w:tcBorders>
            <w:vAlign w:val="center"/>
          </w:tcPr>
          <w:p w14:paraId="5A22045D">
            <w:pPr>
              <w:widowControl/>
              <w:ind w:left="-84" w:leftChars="-40" w:firstLine="82"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332" w:type="dxa"/>
            <w:tcBorders>
              <w:top w:val="single" w:color="auto" w:sz="4" w:space="0"/>
              <w:left w:val="nil"/>
              <w:bottom w:val="single" w:color="auto" w:sz="4" w:space="0"/>
              <w:right w:val="single" w:color="auto" w:sz="4" w:space="0"/>
            </w:tcBorders>
            <w:vAlign w:val="center"/>
          </w:tcPr>
          <w:p w14:paraId="5268FBB2">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vAlign w:val="center"/>
          </w:tcPr>
          <w:p w14:paraId="127B83E9">
            <w:pPr>
              <w:widowControl/>
              <w:jc w:val="center"/>
              <w:rPr>
                <w:rFonts w:ascii="Times New Roman" w:hAnsi="Times New Roman"/>
                <w:b/>
                <w:color w:val="auto"/>
                <w:szCs w:val="21"/>
                <w:highlight w:val="none"/>
              </w:rPr>
            </w:pPr>
            <w:r>
              <w:rPr>
                <w:rFonts w:ascii="Times New Roman" w:hAnsi="Times New Roman"/>
                <w:b/>
                <w:color w:val="auto"/>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vAlign w:val="center"/>
          </w:tcPr>
          <w:p w14:paraId="1A7FEA18">
            <w:pPr>
              <w:widowControl/>
              <w:jc w:val="center"/>
              <w:rPr>
                <w:rFonts w:ascii="Times New Roman" w:hAnsi="Times New Roman"/>
                <w:b/>
                <w:color w:val="auto"/>
                <w:szCs w:val="21"/>
                <w:highlight w:val="none"/>
              </w:rPr>
            </w:pPr>
            <w:r>
              <w:rPr>
                <w:rFonts w:ascii="Times New Roman" w:hAnsi="Times New Roman"/>
                <w:b/>
                <w:color w:val="auto"/>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vAlign w:val="center"/>
          </w:tcPr>
          <w:p w14:paraId="461C98B6">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14:paraId="47948921">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color="auto" w:sz="4" w:space="0"/>
              <w:left w:val="nil"/>
              <w:bottom w:val="single" w:color="auto" w:sz="4" w:space="0"/>
              <w:right w:val="single" w:color="auto" w:sz="4" w:space="0"/>
            </w:tcBorders>
            <w:vAlign w:val="center"/>
          </w:tcPr>
          <w:p w14:paraId="6647BA0D">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14:paraId="52F4A325">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2A0777D0">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692" w:type="dxa"/>
            <w:tcBorders>
              <w:top w:val="single" w:color="auto" w:sz="4" w:space="0"/>
              <w:left w:val="nil"/>
              <w:bottom w:val="single" w:color="auto" w:sz="4" w:space="0"/>
              <w:right w:val="single" w:color="auto" w:sz="4" w:space="0"/>
            </w:tcBorders>
            <w:vAlign w:val="center"/>
          </w:tcPr>
          <w:p w14:paraId="63022777">
            <w:pPr>
              <w:jc w:val="center"/>
              <w:rPr>
                <w:rFonts w:ascii="Times New Roman" w:hAnsi="Times New Roman"/>
                <w:color w:val="auto"/>
                <w:szCs w:val="21"/>
                <w:highlight w:val="none"/>
              </w:rPr>
            </w:pPr>
          </w:p>
        </w:tc>
        <w:tc>
          <w:tcPr>
            <w:tcW w:w="2332" w:type="dxa"/>
            <w:tcBorders>
              <w:top w:val="single" w:color="auto" w:sz="4" w:space="0"/>
              <w:left w:val="nil"/>
              <w:bottom w:val="single" w:color="auto" w:sz="4" w:space="0"/>
              <w:right w:val="single" w:color="auto" w:sz="4" w:space="0"/>
            </w:tcBorders>
            <w:vAlign w:val="center"/>
          </w:tcPr>
          <w:p w14:paraId="7E3D8345">
            <w:pPr>
              <w:tabs>
                <w:tab w:val="left" w:pos="425"/>
              </w:tabs>
              <w:snapToGrid w:val="0"/>
              <w:jc w:val="center"/>
              <w:rPr>
                <w:rFonts w:ascii="Times New Roman" w:hAnsi="Times New Roman"/>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EBC751C">
            <w:pPr>
              <w:tabs>
                <w:tab w:val="left" w:pos="425"/>
              </w:tabs>
              <w:snapToGrid w:val="0"/>
              <w:jc w:val="center"/>
              <w:rPr>
                <w:rFonts w:ascii="Times New Roman" w:hAnsi="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761391">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8B3A2A4">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509274D8">
            <w:pPr>
              <w:tabs>
                <w:tab w:val="left" w:pos="425"/>
              </w:tabs>
              <w:snapToGrid w:val="0"/>
              <w:jc w:val="center"/>
              <w:rPr>
                <w:rFonts w:ascii="Times New Roman" w:hAnsi="Times New Roman"/>
                <w:color w:val="auto"/>
                <w:szCs w:val="21"/>
                <w:highlight w:val="none"/>
              </w:rPr>
            </w:pPr>
          </w:p>
        </w:tc>
      </w:tr>
      <w:tr w14:paraId="293EF52A">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5FCB9125">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692" w:type="dxa"/>
            <w:tcBorders>
              <w:top w:val="single" w:color="auto" w:sz="4" w:space="0"/>
              <w:left w:val="nil"/>
              <w:bottom w:val="single" w:color="auto" w:sz="4" w:space="0"/>
              <w:right w:val="single" w:color="auto" w:sz="4" w:space="0"/>
            </w:tcBorders>
            <w:vAlign w:val="center"/>
          </w:tcPr>
          <w:p w14:paraId="75E4D175">
            <w:pPr>
              <w:jc w:val="center"/>
              <w:rPr>
                <w:rFonts w:ascii="Times New Roman" w:hAnsi="Times New Roman"/>
                <w:color w:val="auto"/>
                <w:szCs w:val="21"/>
                <w:highlight w:val="none"/>
              </w:rPr>
            </w:pPr>
          </w:p>
        </w:tc>
        <w:tc>
          <w:tcPr>
            <w:tcW w:w="2332" w:type="dxa"/>
            <w:tcBorders>
              <w:top w:val="single" w:color="auto" w:sz="4" w:space="0"/>
              <w:left w:val="nil"/>
              <w:bottom w:val="single" w:color="auto" w:sz="4" w:space="0"/>
              <w:right w:val="single" w:color="auto" w:sz="4" w:space="0"/>
            </w:tcBorders>
            <w:vAlign w:val="center"/>
          </w:tcPr>
          <w:p w14:paraId="344043AA">
            <w:pPr>
              <w:tabs>
                <w:tab w:val="left" w:pos="425"/>
              </w:tabs>
              <w:snapToGrid w:val="0"/>
              <w:jc w:val="center"/>
              <w:rPr>
                <w:rFonts w:ascii="Times New Roman" w:hAnsi="Times New Roman"/>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5E0A660">
            <w:pPr>
              <w:tabs>
                <w:tab w:val="left" w:pos="425"/>
              </w:tabs>
              <w:snapToGrid w:val="0"/>
              <w:jc w:val="center"/>
              <w:rPr>
                <w:rFonts w:ascii="Times New Roman" w:hAnsi="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82A305">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A563E59">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041FE2D4">
            <w:pPr>
              <w:tabs>
                <w:tab w:val="left" w:pos="425"/>
              </w:tabs>
              <w:snapToGrid w:val="0"/>
              <w:jc w:val="center"/>
              <w:rPr>
                <w:rFonts w:ascii="Times New Roman" w:hAnsi="Times New Roman"/>
                <w:color w:val="auto"/>
                <w:szCs w:val="21"/>
                <w:highlight w:val="none"/>
              </w:rPr>
            </w:pPr>
          </w:p>
        </w:tc>
      </w:tr>
      <w:tr w14:paraId="275B7CA0">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1BA85D66">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692" w:type="dxa"/>
            <w:tcBorders>
              <w:top w:val="single" w:color="auto" w:sz="4" w:space="0"/>
              <w:left w:val="nil"/>
              <w:bottom w:val="single" w:color="auto" w:sz="4" w:space="0"/>
              <w:right w:val="single" w:color="auto" w:sz="4" w:space="0"/>
            </w:tcBorders>
            <w:vAlign w:val="center"/>
          </w:tcPr>
          <w:p w14:paraId="5AAFFC71">
            <w:pPr>
              <w:jc w:val="center"/>
              <w:rPr>
                <w:rFonts w:ascii="Times New Roman" w:hAnsi="Times New Roman"/>
                <w:color w:val="auto"/>
                <w:szCs w:val="21"/>
                <w:highlight w:val="none"/>
              </w:rPr>
            </w:pPr>
          </w:p>
        </w:tc>
        <w:tc>
          <w:tcPr>
            <w:tcW w:w="2332" w:type="dxa"/>
            <w:tcBorders>
              <w:top w:val="single" w:color="auto" w:sz="4" w:space="0"/>
              <w:left w:val="nil"/>
              <w:bottom w:val="single" w:color="auto" w:sz="4" w:space="0"/>
              <w:right w:val="single" w:color="auto" w:sz="4" w:space="0"/>
            </w:tcBorders>
            <w:vAlign w:val="center"/>
          </w:tcPr>
          <w:p w14:paraId="46D8E35B">
            <w:pPr>
              <w:tabs>
                <w:tab w:val="left" w:pos="425"/>
              </w:tabs>
              <w:snapToGrid w:val="0"/>
              <w:jc w:val="center"/>
              <w:rPr>
                <w:rFonts w:ascii="Times New Roman" w:hAnsi="Times New Roman"/>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A9831B6">
            <w:pPr>
              <w:tabs>
                <w:tab w:val="left" w:pos="425"/>
              </w:tabs>
              <w:snapToGrid w:val="0"/>
              <w:jc w:val="center"/>
              <w:rPr>
                <w:rFonts w:ascii="Times New Roman" w:hAnsi="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1F71CA">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E75BC24">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33BBFB9B">
            <w:pPr>
              <w:tabs>
                <w:tab w:val="left" w:pos="425"/>
              </w:tabs>
              <w:snapToGrid w:val="0"/>
              <w:jc w:val="center"/>
              <w:rPr>
                <w:rFonts w:ascii="Times New Roman" w:hAnsi="Times New Roman"/>
                <w:color w:val="auto"/>
                <w:szCs w:val="21"/>
                <w:highlight w:val="none"/>
              </w:rPr>
            </w:pPr>
          </w:p>
        </w:tc>
      </w:tr>
      <w:tr w14:paraId="2B0B4E04">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vAlign w:val="center"/>
          </w:tcPr>
          <w:p w14:paraId="732DF9A8">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692" w:type="dxa"/>
            <w:tcBorders>
              <w:top w:val="nil"/>
              <w:left w:val="nil"/>
              <w:bottom w:val="single" w:color="auto" w:sz="4" w:space="0"/>
              <w:right w:val="single" w:color="auto" w:sz="4" w:space="0"/>
            </w:tcBorders>
            <w:vAlign w:val="center"/>
          </w:tcPr>
          <w:p w14:paraId="3EAA0207">
            <w:pPr>
              <w:jc w:val="center"/>
              <w:rPr>
                <w:rFonts w:ascii="Times New Roman" w:hAnsi="Times New Roman"/>
                <w:color w:val="auto"/>
                <w:szCs w:val="21"/>
                <w:highlight w:val="none"/>
              </w:rPr>
            </w:pPr>
          </w:p>
        </w:tc>
        <w:tc>
          <w:tcPr>
            <w:tcW w:w="2332" w:type="dxa"/>
            <w:tcBorders>
              <w:top w:val="nil"/>
              <w:left w:val="nil"/>
              <w:bottom w:val="single" w:color="auto" w:sz="4" w:space="0"/>
              <w:right w:val="single" w:color="auto" w:sz="4" w:space="0"/>
            </w:tcBorders>
            <w:vAlign w:val="center"/>
          </w:tcPr>
          <w:p w14:paraId="1E07AB9F">
            <w:pPr>
              <w:tabs>
                <w:tab w:val="left" w:pos="425"/>
              </w:tabs>
              <w:snapToGrid w:val="0"/>
              <w:jc w:val="center"/>
              <w:rPr>
                <w:rFonts w:ascii="Times New Roman" w:hAnsi="Times New Roman"/>
                <w:color w:val="auto"/>
                <w:szCs w:val="21"/>
                <w:highlight w:val="none"/>
              </w:rPr>
            </w:pPr>
          </w:p>
        </w:tc>
        <w:tc>
          <w:tcPr>
            <w:tcW w:w="1267" w:type="dxa"/>
            <w:tcBorders>
              <w:top w:val="nil"/>
              <w:left w:val="single" w:color="auto" w:sz="4" w:space="0"/>
              <w:bottom w:val="single" w:color="auto" w:sz="4" w:space="0"/>
              <w:right w:val="single" w:color="auto" w:sz="4" w:space="0"/>
            </w:tcBorders>
            <w:vAlign w:val="center"/>
          </w:tcPr>
          <w:p w14:paraId="23FC7839">
            <w:pPr>
              <w:tabs>
                <w:tab w:val="left" w:pos="425"/>
              </w:tabs>
              <w:snapToGrid w:val="0"/>
              <w:jc w:val="center"/>
              <w:rPr>
                <w:rFonts w:ascii="Times New Roman" w:hAnsi="Times New Roman"/>
                <w:color w:val="auto"/>
                <w:szCs w:val="21"/>
                <w:highlight w:val="none"/>
              </w:rPr>
            </w:pPr>
          </w:p>
        </w:tc>
        <w:tc>
          <w:tcPr>
            <w:tcW w:w="1260" w:type="dxa"/>
            <w:tcBorders>
              <w:top w:val="nil"/>
              <w:left w:val="single" w:color="auto" w:sz="4" w:space="0"/>
              <w:bottom w:val="single" w:color="auto" w:sz="4" w:space="0"/>
              <w:right w:val="single" w:color="auto" w:sz="4" w:space="0"/>
            </w:tcBorders>
            <w:vAlign w:val="center"/>
          </w:tcPr>
          <w:p w14:paraId="4DAF3F47">
            <w:pPr>
              <w:tabs>
                <w:tab w:val="left" w:pos="425"/>
              </w:tabs>
              <w:snapToGrid w:val="0"/>
              <w:jc w:val="center"/>
              <w:rPr>
                <w:rFonts w:ascii="Times New Roman" w:hAnsi="Times New Roman"/>
                <w:color w:val="auto"/>
                <w:szCs w:val="21"/>
                <w:highlight w:val="none"/>
              </w:rPr>
            </w:pPr>
          </w:p>
        </w:tc>
        <w:tc>
          <w:tcPr>
            <w:tcW w:w="1343" w:type="dxa"/>
            <w:tcBorders>
              <w:top w:val="nil"/>
              <w:left w:val="single" w:color="auto" w:sz="4" w:space="0"/>
              <w:bottom w:val="single" w:color="auto" w:sz="4" w:space="0"/>
              <w:right w:val="single" w:color="auto" w:sz="4" w:space="0"/>
            </w:tcBorders>
            <w:vAlign w:val="center"/>
          </w:tcPr>
          <w:p w14:paraId="65E0AABF">
            <w:pPr>
              <w:tabs>
                <w:tab w:val="left" w:pos="425"/>
              </w:tabs>
              <w:snapToGrid w:val="0"/>
              <w:jc w:val="center"/>
              <w:rPr>
                <w:rFonts w:ascii="Times New Roman" w:hAnsi="Times New Roman"/>
                <w:color w:val="auto"/>
                <w:szCs w:val="21"/>
                <w:highlight w:val="none"/>
              </w:rPr>
            </w:pPr>
          </w:p>
        </w:tc>
        <w:tc>
          <w:tcPr>
            <w:tcW w:w="643" w:type="dxa"/>
            <w:tcBorders>
              <w:top w:val="nil"/>
              <w:left w:val="single" w:color="auto" w:sz="4" w:space="0"/>
              <w:bottom w:val="single" w:color="auto" w:sz="4" w:space="0"/>
              <w:right w:val="single" w:color="auto" w:sz="4" w:space="0"/>
            </w:tcBorders>
            <w:vAlign w:val="center"/>
          </w:tcPr>
          <w:p w14:paraId="2D811BBA">
            <w:pPr>
              <w:tabs>
                <w:tab w:val="left" w:pos="425"/>
              </w:tabs>
              <w:snapToGrid w:val="0"/>
              <w:jc w:val="center"/>
              <w:rPr>
                <w:rFonts w:ascii="Times New Roman" w:hAnsi="Times New Roman"/>
                <w:color w:val="auto"/>
                <w:szCs w:val="21"/>
                <w:highlight w:val="none"/>
              </w:rPr>
            </w:pPr>
          </w:p>
        </w:tc>
      </w:tr>
      <w:tr w14:paraId="0DD3CBF8">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34306035">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692" w:type="dxa"/>
            <w:tcBorders>
              <w:top w:val="single" w:color="auto" w:sz="4" w:space="0"/>
              <w:left w:val="nil"/>
              <w:bottom w:val="single" w:color="auto" w:sz="4" w:space="0"/>
              <w:right w:val="single" w:color="auto" w:sz="4" w:space="0"/>
            </w:tcBorders>
            <w:vAlign w:val="center"/>
          </w:tcPr>
          <w:p w14:paraId="193801E2">
            <w:pPr>
              <w:tabs>
                <w:tab w:val="left" w:pos="425"/>
              </w:tabs>
              <w:snapToGrid w:val="0"/>
              <w:jc w:val="center"/>
              <w:rPr>
                <w:rFonts w:ascii="Times New Roman" w:hAnsi="Times New Roman"/>
                <w:color w:val="auto"/>
                <w:szCs w:val="21"/>
                <w:highlight w:val="none"/>
              </w:rPr>
            </w:pPr>
          </w:p>
        </w:tc>
        <w:tc>
          <w:tcPr>
            <w:tcW w:w="2332" w:type="dxa"/>
            <w:tcBorders>
              <w:top w:val="single" w:color="auto" w:sz="4" w:space="0"/>
              <w:left w:val="nil"/>
              <w:bottom w:val="single" w:color="auto" w:sz="4" w:space="0"/>
              <w:right w:val="single" w:color="auto" w:sz="4" w:space="0"/>
            </w:tcBorders>
            <w:vAlign w:val="center"/>
          </w:tcPr>
          <w:p w14:paraId="78552309">
            <w:pPr>
              <w:tabs>
                <w:tab w:val="left" w:pos="425"/>
              </w:tabs>
              <w:snapToGrid w:val="0"/>
              <w:jc w:val="center"/>
              <w:rPr>
                <w:rFonts w:ascii="Times New Roman" w:hAnsi="Times New Roman"/>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D437E31">
            <w:pPr>
              <w:tabs>
                <w:tab w:val="left" w:pos="425"/>
              </w:tabs>
              <w:snapToGrid w:val="0"/>
              <w:jc w:val="center"/>
              <w:rPr>
                <w:rFonts w:ascii="Times New Roman" w:hAnsi="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A8112D">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D65B05D">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218708BE">
            <w:pPr>
              <w:tabs>
                <w:tab w:val="left" w:pos="425"/>
              </w:tabs>
              <w:snapToGrid w:val="0"/>
              <w:jc w:val="center"/>
              <w:rPr>
                <w:rFonts w:ascii="Times New Roman" w:hAnsi="Times New Roman"/>
                <w:color w:val="auto"/>
                <w:szCs w:val="21"/>
                <w:highlight w:val="none"/>
              </w:rPr>
            </w:pPr>
          </w:p>
        </w:tc>
      </w:tr>
      <w:tr w14:paraId="733285FB">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30424325">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692" w:type="dxa"/>
            <w:tcBorders>
              <w:top w:val="single" w:color="auto" w:sz="4" w:space="0"/>
              <w:left w:val="nil"/>
              <w:bottom w:val="single" w:color="auto" w:sz="4" w:space="0"/>
              <w:right w:val="single" w:color="auto" w:sz="4" w:space="0"/>
            </w:tcBorders>
            <w:vAlign w:val="center"/>
          </w:tcPr>
          <w:p w14:paraId="55D0CC16">
            <w:pPr>
              <w:tabs>
                <w:tab w:val="left" w:pos="425"/>
              </w:tabs>
              <w:snapToGrid w:val="0"/>
              <w:jc w:val="center"/>
              <w:rPr>
                <w:rFonts w:ascii="Times New Roman" w:hAnsi="Times New Roman"/>
                <w:color w:val="auto"/>
                <w:szCs w:val="21"/>
                <w:highlight w:val="none"/>
              </w:rPr>
            </w:pPr>
          </w:p>
        </w:tc>
        <w:tc>
          <w:tcPr>
            <w:tcW w:w="2332" w:type="dxa"/>
            <w:tcBorders>
              <w:top w:val="single" w:color="auto" w:sz="4" w:space="0"/>
              <w:left w:val="nil"/>
              <w:bottom w:val="single" w:color="auto" w:sz="4" w:space="0"/>
              <w:right w:val="single" w:color="auto" w:sz="4" w:space="0"/>
            </w:tcBorders>
            <w:vAlign w:val="center"/>
          </w:tcPr>
          <w:p w14:paraId="6799C31B">
            <w:pPr>
              <w:tabs>
                <w:tab w:val="left" w:pos="425"/>
              </w:tabs>
              <w:snapToGrid w:val="0"/>
              <w:jc w:val="center"/>
              <w:rPr>
                <w:rFonts w:ascii="Times New Roman" w:hAnsi="Times New Roman"/>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A9A1E1E">
            <w:pPr>
              <w:tabs>
                <w:tab w:val="left" w:pos="425"/>
              </w:tabs>
              <w:snapToGrid w:val="0"/>
              <w:jc w:val="center"/>
              <w:rPr>
                <w:rFonts w:ascii="Times New Roman" w:hAnsi="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E55E4B">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164AD211">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7B434EB6">
            <w:pPr>
              <w:tabs>
                <w:tab w:val="left" w:pos="425"/>
              </w:tabs>
              <w:snapToGrid w:val="0"/>
              <w:jc w:val="center"/>
              <w:rPr>
                <w:rFonts w:ascii="Times New Roman" w:hAnsi="Times New Roman"/>
                <w:color w:val="auto"/>
                <w:szCs w:val="21"/>
                <w:highlight w:val="none"/>
              </w:rPr>
            </w:pPr>
          </w:p>
        </w:tc>
      </w:tr>
      <w:tr w14:paraId="201FD467">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vAlign w:val="center"/>
          </w:tcPr>
          <w:p w14:paraId="75204D58">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vAlign w:val="center"/>
          </w:tcPr>
          <w:p w14:paraId="22C87C09">
            <w:pPr>
              <w:tabs>
                <w:tab w:val="left" w:pos="425"/>
              </w:tabs>
              <w:snapToGrid w:val="0"/>
              <w:jc w:val="center"/>
              <w:rPr>
                <w:rFonts w:ascii="Times New Roman" w:hAnsi="Times New Roman"/>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3BC140B">
            <w:pPr>
              <w:tabs>
                <w:tab w:val="left" w:pos="425"/>
              </w:tabs>
              <w:snapToGrid w:val="0"/>
              <w:jc w:val="center"/>
              <w:rPr>
                <w:rFonts w:ascii="Times New Roman" w:hAnsi="Times New Roman"/>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5584BD8A">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203B6A5C">
            <w:pPr>
              <w:tabs>
                <w:tab w:val="left" w:pos="425"/>
              </w:tabs>
              <w:snapToGrid w:val="0"/>
              <w:jc w:val="center"/>
              <w:rPr>
                <w:rFonts w:ascii="Times New Roman" w:hAnsi="Times New Roman"/>
                <w:color w:val="auto"/>
                <w:szCs w:val="21"/>
                <w:highlight w:val="none"/>
              </w:rPr>
            </w:pPr>
          </w:p>
        </w:tc>
      </w:tr>
    </w:tbl>
    <w:p w14:paraId="61F18F07">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14:paraId="1478A605">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14:paraId="5E53E18B">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14:paraId="2FBF0832">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    数量×单价。</w:t>
      </w:r>
    </w:p>
    <w:p w14:paraId="0B386662">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4.本表仅供参考，可扩展。</w:t>
      </w:r>
    </w:p>
    <w:p w14:paraId="5E5EC4FA">
      <w:pPr>
        <w:pStyle w:val="12"/>
        <w:ind w:firstLine="420" w:firstLineChars="200"/>
        <w:rPr>
          <w:rFonts w:ascii="Times New Roman" w:hAnsi="Times New Roman" w:cs="Times New Roman"/>
          <w:color w:val="auto"/>
          <w:highlight w:val="none"/>
        </w:rPr>
      </w:pPr>
    </w:p>
    <w:p w14:paraId="441B56F8">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0248842F">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投标人代表（签字或盖章）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130441C5">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14:paraId="47143FE1">
      <w:pPr>
        <w:widowControl/>
        <w:jc w:val="center"/>
        <w:rPr>
          <w:rFonts w:hint="eastAsia"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6A99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A3639A3">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7F163963">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79D5B024">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14:paraId="2802FF34">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6E62D5E7">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14:paraId="7EABE5F4">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3CDA8823">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14:paraId="4F7B5537">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14:paraId="650C6B59">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14:paraId="5023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0AA87F8">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tcPr>
          <w:p w14:paraId="29B7BF30">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31346924">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20123C29">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682217A1">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14:paraId="051C6085">
            <w:pPr>
              <w:topLinePunct/>
              <w:autoSpaceDE w:val="0"/>
              <w:autoSpaceDN w:val="0"/>
              <w:spacing w:before="62" w:beforeLines="20" w:after="312"/>
              <w:jc w:val="center"/>
              <w:rPr>
                <w:rFonts w:ascii="Times New Roman" w:hAnsi="Times New Roman"/>
                <w:b/>
                <w:bCs/>
                <w:color w:val="auto"/>
                <w:szCs w:val="21"/>
                <w:highlight w:val="none"/>
              </w:rPr>
            </w:pPr>
          </w:p>
        </w:tc>
      </w:tr>
      <w:tr w14:paraId="75D4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54CEBF7D">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tcPr>
          <w:p w14:paraId="60E1798B">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2EA33EC2">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54983B92">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1E07CA73">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14:paraId="2C316443">
            <w:pPr>
              <w:topLinePunct/>
              <w:autoSpaceDE w:val="0"/>
              <w:autoSpaceDN w:val="0"/>
              <w:spacing w:before="62" w:beforeLines="20" w:after="312"/>
              <w:jc w:val="center"/>
              <w:rPr>
                <w:rFonts w:ascii="Times New Roman" w:hAnsi="Times New Roman"/>
                <w:b/>
                <w:bCs/>
                <w:color w:val="auto"/>
                <w:szCs w:val="21"/>
                <w:highlight w:val="none"/>
              </w:rPr>
            </w:pPr>
          </w:p>
        </w:tc>
      </w:tr>
      <w:tr w14:paraId="604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9EC76D9">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tcPr>
          <w:p w14:paraId="575B887F">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5CA0287F">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28AAD62E">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46A884D3">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14:paraId="3D8258B6">
            <w:pPr>
              <w:topLinePunct/>
              <w:autoSpaceDE w:val="0"/>
              <w:autoSpaceDN w:val="0"/>
              <w:spacing w:before="62" w:beforeLines="20" w:after="312"/>
              <w:jc w:val="center"/>
              <w:rPr>
                <w:rFonts w:ascii="Times New Roman" w:hAnsi="Times New Roman"/>
                <w:b/>
                <w:bCs/>
                <w:color w:val="auto"/>
                <w:szCs w:val="21"/>
                <w:highlight w:val="none"/>
              </w:rPr>
            </w:pPr>
          </w:p>
        </w:tc>
      </w:tr>
      <w:tr w14:paraId="5D82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6DE5267">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tcPr>
          <w:p w14:paraId="2CA67229">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672995E7">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099C50C0">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31940D82">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14:paraId="4158EBAB">
            <w:pPr>
              <w:topLinePunct/>
              <w:autoSpaceDE w:val="0"/>
              <w:autoSpaceDN w:val="0"/>
              <w:spacing w:before="62" w:beforeLines="20" w:after="312"/>
              <w:jc w:val="center"/>
              <w:rPr>
                <w:rFonts w:ascii="Times New Roman" w:hAnsi="Times New Roman"/>
                <w:b/>
                <w:bCs/>
                <w:color w:val="auto"/>
                <w:szCs w:val="21"/>
                <w:highlight w:val="none"/>
              </w:rPr>
            </w:pPr>
          </w:p>
        </w:tc>
      </w:tr>
      <w:tr w14:paraId="6637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C2C69E6">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tcPr>
          <w:p w14:paraId="701CEFBB">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26CD2773">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5AEF2C7D">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073F39C4">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14:paraId="438CAE47">
            <w:pPr>
              <w:topLinePunct/>
              <w:autoSpaceDE w:val="0"/>
              <w:autoSpaceDN w:val="0"/>
              <w:spacing w:before="62" w:beforeLines="20" w:after="312"/>
              <w:jc w:val="center"/>
              <w:rPr>
                <w:rFonts w:ascii="Times New Roman" w:hAnsi="Times New Roman"/>
                <w:b/>
                <w:bCs/>
                <w:color w:val="auto"/>
                <w:szCs w:val="21"/>
                <w:highlight w:val="none"/>
              </w:rPr>
            </w:pPr>
          </w:p>
        </w:tc>
      </w:tr>
    </w:tbl>
    <w:p w14:paraId="248478C8">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14:paraId="63909A93">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1.商务条款无需条对条应答，如无偏离，请在此表中填写“无偏离”；如有偏离，请在此表中应答为“正/负偏离”并说明偏离情况。</w:t>
      </w:r>
    </w:p>
    <w:p w14:paraId="54796FC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2.如《招标文件-商务部分》中有标注★号的，则为实质性要求，必须满足，如应答为“负偏离”，将导致投标无效。</w:t>
      </w:r>
    </w:p>
    <w:p w14:paraId="793FB544">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3.本表可扩展。</w:t>
      </w:r>
    </w:p>
    <w:p w14:paraId="34F1C641">
      <w:pPr>
        <w:topLinePunct/>
        <w:autoSpaceDE w:val="0"/>
        <w:autoSpaceDN w:val="0"/>
        <w:spacing w:line="500" w:lineRule="exact"/>
        <w:rPr>
          <w:rFonts w:hint="eastAsia" w:hAnsi="宋体"/>
          <w:color w:val="auto"/>
          <w:sz w:val="24"/>
          <w:highlight w:val="none"/>
        </w:rPr>
      </w:pPr>
    </w:p>
    <w:p w14:paraId="7E38D24D">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349CD3F">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6DC8B61A">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3FCFB84F">
      <w:pPr>
        <w:rPr>
          <w:rFonts w:hint="eastAsia" w:hAnsi="宋体" w:cs="宋体"/>
          <w:b/>
          <w:bCs/>
          <w:color w:val="auto"/>
          <w:sz w:val="28"/>
          <w:szCs w:val="28"/>
          <w:highlight w:val="none"/>
        </w:rPr>
      </w:pPr>
    </w:p>
    <w:p w14:paraId="42CA7CE5">
      <w:pPr>
        <w:snapToGrid w:val="0"/>
        <w:spacing w:line="360" w:lineRule="auto"/>
        <w:jc w:val="center"/>
        <w:rPr>
          <w:rFonts w:ascii="Times New Roman" w:hAnsi="Times New Roman"/>
          <w:b/>
          <w:bCs/>
          <w:color w:val="auto"/>
          <w:sz w:val="28"/>
          <w:szCs w:val="28"/>
          <w:highlight w:val="none"/>
        </w:rPr>
      </w:pPr>
      <w:r>
        <w:rPr>
          <w:rFonts w:hAnsi="宋体" w:cs="宋体"/>
          <w:b/>
          <w:bCs/>
          <w:color w:val="auto"/>
          <w:sz w:val="28"/>
          <w:szCs w:val="28"/>
          <w:highlight w:val="none"/>
        </w:rPr>
        <w:br w:type="page"/>
      </w:r>
      <w:r>
        <w:rPr>
          <w:rFonts w:ascii="Times New Roman" w:hAnsi="Times New Roman"/>
          <w:b/>
          <w:bCs/>
          <w:color w:val="auto"/>
          <w:sz w:val="28"/>
          <w:szCs w:val="28"/>
          <w:highlight w:val="none"/>
        </w:rPr>
        <w:t>格式5  投标人具备投标资格证明文件</w:t>
      </w:r>
    </w:p>
    <w:p w14:paraId="1C2D7AE3">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5-1投标人基本情况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14:paraId="329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71967299">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供应商名称</w:t>
            </w:r>
          </w:p>
        </w:tc>
        <w:tc>
          <w:tcPr>
            <w:tcW w:w="1234" w:type="pct"/>
            <w:gridSpan w:val="2"/>
            <w:vAlign w:val="center"/>
          </w:tcPr>
          <w:p w14:paraId="510C7C9D">
            <w:pPr>
              <w:pStyle w:val="12"/>
              <w:spacing w:line="360" w:lineRule="auto"/>
              <w:jc w:val="center"/>
              <w:rPr>
                <w:rFonts w:ascii="Times New Roman" w:hAnsi="Times New Roman"/>
                <w:color w:val="auto"/>
                <w:highlight w:val="none"/>
              </w:rPr>
            </w:pPr>
          </w:p>
        </w:tc>
        <w:tc>
          <w:tcPr>
            <w:tcW w:w="987" w:type="pct"/>
            <w:vAlign w:val="center"/>
          </w:tcPr>
          <w:p w14:paraId="02DC6048">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法定代表人</w:t>
            </w:r>
          </w:p>
        </w:tc>
        <w:tc>
          <w:tcPr>
            <w:tcW w:w="1564" w:type="pct"/>
            <w:vAlign w:val="center"/>
          </w:tcPr>
          <w:p w14:paraId="116A1B98">
            <w:pPr>
              <w:pStyle w:val="12"/>
              <w:spacing w:line="360" w:lineRule="auto"/>
              <w:jc w:val="center"/>
              <w:rPr>
                <w:rFonts w:ascii="Times New Roman" w:hAnsi="Times New Roman"/>
                <w:color w:val="auto"/>
                <w:highlight w:val="none"/>
              </w:rPr>
            </w:pPr>
          </w:p>
        </w:tc>
      </w:tr>
      <w:tr w14:paraId="2E2D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2825F732">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统一社会信用代码</w:t>
            </w:r>
          </w:p>
        </w:tc>
        <w:tc>
          <w:tcPr>
            <w:tcW w:w="1234" w:type="pct"/>
            <w:gridSpan w:val="2"/>
            <w:vAlign w:val="center"/>
          </w:tcPr>
          <w:p w14:paraId="432F3447">
            <w:pPr>
              <w:pStyle w:val="12"/>
              <w:spacing w:line="360" w:lineRule="auto"/>
              <w:jc w:val="center"/>
              <w:rPr>
                <w:rFonts w:ascii="Times New Roman" w:hAnsi="Times New Roman"/>
                <w:color w:val="auto"/>
                <w:highlight w:val="none"/>
              </w:rPr>
            </w:pPr>
          </w:p>
        </w:tc>
        <w:tc>
          <w:tcPr>
            <w:tcW w:w="987" w:type="pct"/>
            <w:vAlign w:val="center"/>
          </w:tcPr>
          <w:p w14:paraId="61C71AC7">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邮政编码</w:t>
            </w:r>
          </w:p>
        </w:tc>
        <w:tc>
          <w:tcPr>
            <w:tcW w:w="1564" w:type="pct"/>
            <w:vAlign w:val="center"/>
          </w:tcPr>
          <w:p w14:paraId="7CBA337F">
            <w:pPr>
              <w:pStyle w:val="12"/>
              <w:spacing w:line="360" w:lineRule="auto"/>
              <w:jc w:val="center"/>
              <w:rPr>
                <w:rFonts w:ascii="Times New Roman" w:hAnsi="Times New Roman"/>
                <w:color w:val="auto"/>
                <w:highlight w:val="none"/>
              </w:rPr>
            </w:pPr>
          </w:p>
        </w:tc>
      </w:tr>
      <w:tr w14:paraId="1994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081C090C">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授权代表</w:t>
            </w:r>
          </w:p>
        </w:tc>
        <w:tc>
          <w:tcPr>
            <w:tcW w:w="1234" w:type="pct"/>
            <w:gridSpan w:val="2"/>
            <w:vAlign w:val="center"/>
          </w:tcPr>
          <w:p w14:paraId="01779195">
            <w:pPr>
              <w:pStyle w:val="12"/>
              <w:spacing w:line="360" w:lineRule="auto"/>
              <w:jc w:val="center"/>
              <w:rPr>
                <w:rFonts w:ascii="Times New Roman" w:hAnsi="Times New Roman"/>
                <w:color w:val="auto"/>
                <w:highlight w:val="none"/>
              </w:rPr>
            </w:pPr>
          </w:p>
        </w:tc>
        <w:tc>
          <w:tcPr>
            <w:tcW w:w="987" w:type="pct"/>
            <w:vAlign w:val="center"/>
          </w:tcPr>
          <w:p w14:paraId="0D66F4FE">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联系电话</w:t>
            </w:r>
          </w:p>
        </w:tc>
        <w:tc>
          <w:tcPr>
            <w:tcW w:w="1564" w:type="pct"/>
            <w:vAlign w:val="center"/>
          </w:tcPr>
          <w:p w14:paraId="207C0CDC">
            <w:pPr>
              <w:pStyle w:val="12"/>
              <w:spacing w:line="360" w:lineRule="auto"/>
              <w:jc w:val="center"/>
              <w:rPr>
                <w:rFonts w:ascii="Times New Roman" w:hAnsi="Times New Roman"/>
                <w:color w:val="auto"/>
                <w:highlight w:val="none"/>
              </w:rPr>
            </w:pPr>
          </w:p>
        </w:tc>
      </w:tr>
      <w:tr w14:paraId="68A2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19AE4FFC">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电子邮箱</w:t>
            </w:r>
          </w:p>
        </w:tc>
        <w:tc>
          <w:tcPr>
            <w:tcW w:w="1234" w:type="pct"/>
            <w:gridSpan w:val="2"/>
            <w:vAlign w:val="center"/>
          </w:tcPr>
          <w:p w14:paraId="7418BFED">
            <w:pPr>
              <w:pStyle w:val="12"/>
              <w:spacing w:line="360" w:lineRule="auto"/>
              <w:jc w:val="center"/>
              <w:rPr>
                <w:rFonts w:ascii="Times New Roman" w:hAnsi="Times New Roman"/>
                <w:color w:val="auto"/>
                <w:highlight w:val="none"/>
              </w:rPr>
            </w:pPr>
          </w:p>
        </w:tc>
        <w:tc>
          <w:tcPr>
            <w:tcW w:w="987" w:type="pct"/>
            <w:vAlign w:val="center"/>
          </w:tcPr>
          <w:p w14:paraId="2C690196">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传真</w:t>
            </w:r>
          </w:p>
        </w:tc>
        <w:tc>
          <w:tcPr>
            <w:tcW w:w="1564" w:type="pct"/>
            <w:vAlign w:val="center"/>
          </w:tcPr>
          <w:p w14:paraId="708E7FF8">
            <w:pPr>
              <w:pStyle w:val="12"/>
              <w:spacing w:line="360" w:lineRule="auto"/>
              <w:jc w:val="center"/>
              <w:rPr>
                <w:rFonts w:ascii="Times New Roman" w:hAnsi="Times New Roman"/>
                <w:color w:val="auto"/>
                <w:highlight w:val="none"/>
              </w:rPr>
            </w:pPr>
          </w:p>
        </w:tc>
      </w:tr>
      <w:tr w14:paraId="258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69B8A04C">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上年营业收入</w:t>
            </w:r>
          </w:p>
        </w:tc>
        <w:tc>
          <w:tcPr>
            <w:tcW w:w="1234" w:type="pct"/>
            <w:gridSpan w:val="2"/>
            <w:vAlign w:val="center"/>
          </w:tcPr>
          <w:p w14:paraId="3ED633B3">
            <w:pPr>
              <w:pStyle w:val="12"/>
              <w:spacing w:line="360" w:lineRule="auto"/>
              <w:jc w:val="center"/>
              <w:rPr>
                <w:rFonts w:ascii="Times New Roman" w:hAnsi="Times New Roman"/>
                <w:color w:val="auto"/>
                <w:highlight w:val="none"/>
              </w:rPr>
            </w:pPr>
          </w:p>
        </w:tc>
        <w:tc>
          <w:tcPr>
            <w:tcW w:w="987" w:type="pct"/>
            <w:vAlign w:val="center"/>
          </w:tcPr>
          <w:p w14:paraId="70834A5F">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员工总人数</w:t>
            </w:r>
          </w:p>
        </w:tc>
        <w:tc>
          <w:tcPr>
            <w:tcW w:w="1564" w:type="pct"/>
            <w:vAlign w:val="center"/>
          </w:tcPr>
          <w:p w14:paraId="3AAF6532">
            <w:pPr>
              <w:pStyle w:val="12"/>
              <w:spacing w:line="360" w:lineRule="auto"/>
              <w:jc w:val="center"/>
              <w:rPr>
                <w:rFonts w:ascii="Times New Roman" w:hAnsi="Times New Roman"/>
                <w:color w:val="auto"/>
                <w:highlight w:val="none"/>
              </w:rPr>
            </w:pPr>
          </w:p>
        </w:tc>
      </w:tr>
      <w:tr w14:paraId="2E55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699228D7">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基本账户开户行及账号</w:t>
            </w:r>
          </w:p>
        </w:tc>
        <w:tc>
          <w:tcPr>
            <w:tcW w:w="3456" w:type="pct"/>
            <w:gridSpan w:val="3"/>
            <w:vAlign w:val="center"/>
          </w:tcPr>
          <w:p w14:paraId="77B8DDFD">
            <w:pPr>
              <w:pStyle w:val="12"/>
              <w:spacing w:line="360" w:lineRule="auto"/>
              <w:jc w:val="center"/>
              <w:rPr>
                <w:rFonts w:ascii="Times New Roman" w:hAnsi="Times New Roman"/>
                <w:color w:val="auto"/>
                <w:highlight w:val="none"/>
              </w:rPr>
            </w:pPr>
          </w:p>
        </w:tc>
      </w:tr>
      <w:tr w14:paraId="6795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58CCB8FC">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税务登记机关</w:t>
            </w:r>
          </w:p>
        </w:tc>
        <w:tc>
          <w:tcPr>
            <w:tcW w:w="3456" w:type="pct"/>
            <w:gridSpan w:val="3"/>
            <w:vAlign w:val="center"/>
          </w:tcPr>
          <w:p w14:paraId="364B1007">
            <w:pPr>
              <w:pStyle w:val="12"/>
              <w:spacing w:line="360" w:lineRule="auto"/>
              <w:jc w:val="center"/>
              <w:rPr>
                <w:rFonts w:ascii="Times New Roman" w:hAnsi="Times New Roman"/>
                <w:color w:val="auto"/>
                <w:highlight w:val="none"/>
              </w:rPr>
            </w:pPr>
          </w:p>
        </w:tc>
      </w:tr>
      <w:tr w14:paraId="2C03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33ECA463">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资质名称</w:t>
            </w:r>
          </w:p>
        </w:tc>
        <w:tc>
          <w:tcPr>
            <w:tcW w:w="905" w:type="pct"/>
            <w:vAlign w:val="center"/>
          </w:tcPr>
          <w:p w14:paraId="2E882C8F">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等级</w:t>
            </w:r>
          </w:p>
        </w:tc>
        <w:tc>
          <w:tcPr>
            <w:tcW w:w="987" w:type="pct"/>
            <w:vAlign w:val="center"/>
          </w:tcPr>
          <w:p w14:paraId="279F2A79">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发证机关</w:t>
            </w:r>
          </w:p>
        </w:tc>
        <w:tc>
          <w:tcPr>
            <w:tcW w:w="1564" w:type="pct"/>
            <w:vAlign w:val="center"/>
          </w:tcPr>
          <w:p w14:paraId="6BD544BD">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有效期</w:t>
            </w:r>
          </w:p>
        </w:tc>
      </w:tr>
      <w:tr w14:paraId="2A03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5322FC7E">
            <w:pPr>
              <w:pStyle w:val="12"/>
              <w:spacing w:line="360" w:lineRule="auto"/>
              <w:jc w:val="center"/>
              <w:rPr>
                <w:rFonts w:ascii="Times New Roman" w:hAnsi="Times New Roman"/>
                <w:color w:val="auto"/>
                <w:highlight w:val="none"/>
              </w:rPr>
            </w:pPr>
          </w:p>
        </w:tc>
        <w:tc>
          <w:tcPr>
            <w:tcW w:w="905" w:type="pct"/>
            <w:vAlign w:val="center"/>
          </w:tcPr>
          <w:p w14:paraId="744BE395">
            <w:pPr>
              <w:pStyle w:val="12"/>
              <w:spacing w:line="360" w:lineRule="auto"/>
              <w:jc w:val="center"/>
              <w:rPr>
                <w:rFonts w:ascii="Times New Roman" w:hAnsi="Times New Roman"/>
                <w:color w:val="auto"/>
                <w:highlight w:val="none"/>
              </w:rPr>
            </w:pPr>
          </w:p>
        </w:tc>
        <w:tc>
          <w:tcPr>
            <w:tcW w:w="987" w:type="pct"/>
            <w:vAlign w:val="center"/>
          </w:tcPr>
          <w:p w14:paraId="0EE15C70">
            <w:pPr>
              <w:pStyle w:val="12"/>
              <w:spacing w:line="360" w:lineRule="auto"/>
              <w:jc w:val="center"/>
              <w:rPr>
                <w:rFonts w:ascii="Times New Roman" w:hAnsi="Times New Roman"/>
                <w:color w:val="auto"/>
                <w:highlight w:val="none"/>
              </w:rPr>
            </w:pPr>
          </w:p>
        </w:tc>
        <w:tc>
          <w:tcPr>
            <w:tcW w:w="1564" w:type="pct"/>
            <w:vAlign w:val="center"/>
          </w:tcPr>
          <w:p w14:paraId="2B6C5AF3">
            <w:pPr>
              <w:pStyle w:val="12"/>
              <w:spacing w:line="360" w:lineRule="auto"/>
              <w:jc w:val="center"/>
              <w:rPr>
                <w:rFonts w:ascii="Times New Roman" w:hAnsi="Times New Roman"/>
                <w:color w:val="auto"/>
                <w:highlight w:val="none"/>
              </w:rPr>
            </w:pPr>
          </w:p>
        </w:tc>
      </w:tr>
      <w:tr w14:paraId="1072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309B5C4F">
            <w:pPr>
              <w:pStyle w:val="12"/>
              <w:spacing w:line="360" w:lineRule="auto"/>
              <w:jc w:val="center"/>
              <w:rPr>
                <w:rFonts w:ascii="Times New Roman" w:hAnsi="Times New Roman"/>
                <w:color w:val="auto"/>
                <w:highlight w:val="none"/>
              </w:rPr>
            </w:pPr>
          </w:p>
        </w:tc>
        <w:tc>
          <w:tcPr>
            <w:tcW w:w="905" w:type="pct"/>
            <w:vAlign w:val="center"/>
          </w:tcPr>
          <w:p w14:paraId="088CE853">
            <w:pPr>
              <w:pStyle w:val="12"/>
              <w:spacing w:line="360" w:lineRule="auto"/>
              <w:jc w:val="center"/>
              <w:rPr>
                <w:rFonts w:ascii="Times New Roman" w:hAnsi="Times New Roman"/>
                <w:color w:val="auto"/>
                <w:highlight w:val="none"/>
              </w:rPr>
            </w:pPr>
          </w:p>
        </w:tc>
        <w:tc>
          <w:tcPr>
            <w:tcW w:w="987" w:type="pct"/>
            <w:vAlign w:val="center"/>
          </w:tcPr>
          <w:p w14:paraId="4254C8F8">
            <w:pPr>
              <w:pStyle w:val="12"/>
              <w:spacing w:line="360" w:lineRule="auto"/>
              <w:jc w:val="center"/>
              <w:rPr>
                <w:rFonts w:ascii="Times New Roman" w:hAnsi="Times New Roman"/>
                <w:color w:val="auto"/>
                <w:highlight w:val="none"/>
              </w:rPr>
            </w:pPr>
          </w:p>
        </w:tc>
        <w:tc>
          <w:tcPr>
            <w:tcW w:w="1564" w:type="pct"/>
            <w:vAlign w:val="center"/>
          </w:tcPr>
          <w:p w14:paraId="220BE4FF">
            <w:pPr>
              <w:pStyle w:val="12"/>
              <w:spacing w:line="360" w:lineRule="auto"/>
              <w:jc w:val="center"/>
              <w:rPr>
                <w:rFonts w:ascii="Times New Roman" w:hAnsi="Times New Roman"/>
                <w:color w:val="auto"/>
                <w:highlight w:val="none"/>
              </w:rPr>
            </w:pPr>
          </w:p>
        </w:tc>
      </w:tr>
      <w:tr w14:paraId="5C1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1D68BC3D">
            <w:pPr>
              <w:pStyle w:val="12"/>
              <w:spacing w:line="360" w:lineRule="auto"/>
              <w:jc w:val="center"/>
              <w:rPr>
                <w:rFonts w:ascii="Times New Roman" w:hAnsi="Times New Roman"/>
                <w:color w:val="auto"/>
                <w:highlight w:val="none"/>
              </w:rPr>
            </w:pPr>
            <w:r>
              <w:rPr>
                <w:rFonts w:hint="eastAsia" w:ascii="Times New Roman" w:hAnsi="Times New Roman"/>
                <w:color w:val="auto"/>
                <w:highlight w:val="none"/>
              </w:rPr>
              <w:t>备注</w:t>
            </w:r>
          </w:p>
        </w:tc>
        <w:tc>
          <w:tcPr>
            <w:tcW w:w="3785" w:type="pct"/>
            <w:gridSpan w:val="4"/>
            <w:vAlign w:val="center"/>
          </w:tcPr>
          <w:p w14:paraId="593ED47A">
            <w:pPr>
              <w:pStyle w:val="12"/>
              <w:spacing w:line="360" w:lineRule="auto"/>
              <w:jc w:val="center"/>
              <w:rPr>
                <w:rFonts w:ascii="Times New Roman" w:hAnsi="Times New Roman"/>
                <w:color w:val="auto"/>
                <w:highlight w:val="none"/>
              </w:rPr>
            </w:pPr>
          </w:p>
        </w:tc>
      </w:tr>
    </w:tbl>
    <w:p w14:paraId="2F1157E6">
      <w:pPr>
        <w:topLinePunct/>
        <w:autoSpaceDE w:val="0"/>
        <w:autoSpaceDN w:val="0"/>
        <w:spacing w:line="500" w:lineRule="exact"/>
        <w:rPr>
          <w:rFonts w:hint="eastAsia" w:hAnsi="宋体"/>
          <w:color w:val="auto"/>
          <w:sz w:val="24"/>
          <w:highlight w:val="none"/>
        </w:rPr>
      </w:pPr>
    </w:p>
    <w:p w14:paraId="510A305B">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9B77667">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4DF24E1F">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6A444D56">
      <w:pPr>
        <w:pStyle w:val="12"/>
        <w:ind w:firstLine="420" w:firstLineChars="200"/>
        <w:rPr>
          <w:rFonts w:ascii="Times New Roman" w:hAnsi="Times New Roman"/>
          <w:color w:val="auto"/>
          <w:highlight w:val="none"/>
        </w:rPr>
      </w:pPr>
    </w:p>
    <w:p w14:paraId="721624BA">
      <w:pPr>
        <w:widowControl/>
        <w:jc w:val="center"/>
        <w:rPr>
          <w:rFonts w:ascii="Times New Roman" w:hAnsi="Times New Roman"/>
          <w:b/>
          <w:bCs/>
          <w:color w:val="auto"/>
          <w:sz w:val="28"/>
          <w:szCs w:val="28"/>
          <w:highlight w:val="none"/>
        </w:rPr>
      </w:pPr>
      <w:r>
        <w:rPr>
          <w:rFonts w:ascii="宋体" w:hAnsi="宋体" w:cs="宋体"/>
          <w:b/>
          <w:bCs/>
          <w:color w:val="auto"/>
          <w:sz w:val="36"/>
          <w:szCs w:val="36"/>
          <w:highlight w:val="none"/>
        </w:rPr>
        <w:br w:type="page"/>
      </w:r>
      <w:r>
        <w:rPr>
          <w:rFonts w:ascii="Times New Roman" w:hAnsi="Times New Roman"/>
          <w:b/>
          <w:bCs/>
          <w:color w:val="auto"/>
          <w:sz w:val="28"/>
          <w:szCs w:val="28"/>
          <w:highlight w:val="none"/>
        </w:rPr>
        <w:t>5-</w:t>
      </w:r>
      <w:r>
        <w:rPr>
          <w:rFonts w:hint="eastAsia"/>
          <w:b/>
          <w:bCs/>
          <w:color w:val="auto"/>
          <w:sz w:val="28"/>
          <w:szCs w:val="28"/>
          <w:highlight w:val="none"/>
        </w:rPr>
        <w:t>2</w:t>
      </w:r>
      <w:r>
        <w:rPr>
          <w:rFonts w:ascii="Times New Roman" w:hAnsi="Times New Roman"/>
          <w:b/>
          <w:bCs/>
          <w:color w:val="auto"/>
          <w:sz w:val="28"/>
          <w:szCs w:val="28"/>
          <w:highlight w:val="none"/>
        </w:rPr>
        <w:t xml:space="preserve"> 财务状况报告</w:t>
      </w:r>
    </w:p>
    <w:p w14:paraId="47640E7A">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根据资格条件要求提供相应材料。</w:t>
      </w:r>
    </w:p>
    <w:p w14:paraId="6B8CEEFE">
      <w:pPr>
        <w:spacing w:line="360" w:lineRule="auto"/>
        <w:ind w:firstLine="480" w:firstLineChars="200"/>
        <w:jc w:val="left"/>
        <w:rPr>
          <w:rFonts w:ascii="Times New Roman" w:hAnsi="Times New Roman"/>
          <w:color w:val="auto"/>
          <w:kern w:val="0"/>
          <w:sz w:val="24"/>
          <w:highlight w:val="none"/>
        </w:rPr>
      </w:pPr>
    </w:p>
    <w:p w14:paraId="2182AA28">
      <w:pPr>
        <w:spacing w:line="360" w:lineRule="auto"/>
        <w:ind w:firstLine="480" w:firstLineChars="200"/>
        <w:jc w:val="left"/>
        <w:rPr>
          <w:rFonts w:ascii="Times New Roman" w:hAnsi="Times New Roman"/>
          <w:color w:val="auto"/>
          <w:kern w:val="0"/>
          <w:sz w:val="24"/>
          <w:highlight w:val="none"/>
        </w:rPr>
      </w:pPr>
    </w:p>
    <w:p w14:paraId="732ABB2A">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5-</w:t>
      </w:r>
      <w:r>
        <w:rPr>
          <w:rFonts w:hint="eastAsia"/>
          <w:b/>
          <w:bCs/>
          <w:color w:val="auto"/>
          <w:sz w:val="28"/>
          <w:szCs w:val="28"/>
          <w:highlight w:val="none"/>
        </w:rPr>
        <w:t>3</w:t>
      </w:r>
      <w:r>
        <w:rPr>
          <w:rFonts w:ascii="Times New Roman" w:hAnsi="Times New Roman"/>
          <w:b/>
          <w:bCs/>
          <w:color w:val="auto"/>
          <w:sz w:val="28"/>
          <w:szCs w:val="28"/>
          <w:highlight w:val="none"/>
        </w:rPr>
        <w:t>依法缴纳税收的相关材料</w:t>
      </w:r>
    </w:p>
    <w:p w14:paraId="35199F67">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根据资格条件要求提供相应材料。</w:t>
      </w:r>
    </w:p>
    <w:p w14:paraId="5A7EC131">
      <w:pPr>
        <w:spacing w:line="360" w:lineRule="auto"/>
        <w:ind w:firstLine="480" w:firstLineChars="200"/>
        <w:jc w:val="left"/>
        <w:rPr>
          <w:rFonts w:ascii="Times New Roman" w:hAnsi="Times New Roman"/>
          <w:color w:val="auto"/>
          <w:kern w:val="0"/>
          <w:sz w:val="24"/>
          <w:highlight w:val="none"/>
        </w:rPr>
      </w:pPr>
    </w:p>
    <w:p w14:paraId="0FE7AEE7">
      <w:pPr>
        <w:spacing w:line="360" w:lineRule="auto"/>
        <w:ind w:firstLine="480" w:firstLineChars="200"/>
        <w:jc w:val="left"/>
        <w:rPr>
          <w:rFonts w:ascii="Times New Roman" w:hAnsi="Times New Roman"/>
          <w:color w:val="auto"/>
          <w:kern w:val="0"/>
          <w:sz w:val="24"/>
          <w:highlight w:val="none"/>
        </w:rPr>
      </w:pPr>
    </w:p>
    <w:p w14:paraId="274D21AC">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5-</w:t>
      </w:r>
      <w:r>
        <w:rPr>
          <w:rFonts w:hint="eastAsia"/>
          <w:b/>
          <w:bCs/>
          <w:color w:val="auto"/>
          <w:sz w:val="28"/>
          <w:szCs w:val="28"/>
          <w:highlight w:val="none"/>
        </w:rPr>
        <w:t>4</w:t>
      </w:r>
      <w:r>
        <w:rPr>
          <w:rFonts w:ascii="Times New Roman" w:hAnsi="Times New Roman"/>
          <w:b/>
          <w:bCs/>
          <w:color w:val="auto"/>
          <w:sz w:val="28"/>
          <w:szCs w:val="28"/>
          <w:highlight w:val="none"/>
        </w:rPr>
        <w:t>依法缴纳社会保障资金的相关材料</w:t>
      </w:r>
    </w:p>
    <w:p w14:paraId="0416C4EA">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根据资格条件要求提供相应材料。</w:t>
      </w:r>
    </w:p>
    <w:p w14:paraId="3A910A5E">
      <w:pPr>
        <w:spacing w:line="360" w:lineRule="auto"/>
        <w:ind w:firstLine="480" w:firstLineChars="200"/>
        <w:jc w:val="left"/>
        <w:rPr>
          <w:rFonts w:ascii="Times New Roman" w:hAnsi="Times New Roman"/>
          <w:color w:val="auto"/>
          <w:kern w:val="0"/>
          <w:sz w:val="24"/>
          <w:highlight w:val="none"/>
        </w:rPr>
      </w:pPr>
    </w:p>
    <w:p w14:paraId="4BF215C9">
      <w:pPr>
        <w:spacing w:line="360" w:lineRule="auto"/>
        <w:ind w:firstLine="480" w:firstLineChars="200"/>
        <w:jc w:val="left"/>
        <w:rPr>
          <w:rFonts w:ascii="Times New Roman" w:hAnsi="Times New Roman"/>
          <w:color w:val="auto"/>
          <w:kern w:val="0"/>
          <w:sz w:val="24"/>
          <w:highlight w:val="none"/>
        </w:rPr>
      </w:pPr>
    </w:p>
    <w:p w14:paraId="499EBD67">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5-</w:t>
      </w:r>
      <w:r>
        <w:rPr>
          <w:rFonts w:hint="eastAsia"/>
          <w:b/>
          <w:bCs/>
          <w:color w:val="auto"/>
          <w:sz w:val="28"/>
          <w:szCs w:val="28"/>
          <w:highlight w:val="none"/>
        </w:rPr>
        <w:t>5</w:t>
      </w:r>
      <w:r>
        <w:rPr>
          <w:rFonts w:ascii="Times New Roman" w:hAnsi="Times New Roman"/>
          <w:b/>
          <w:bCs/>
          <w:color w:val="auto"/>
          <w:sz w:val="28"/>
          <w:szCs w:val="28"/>
          <w:highlight w:val="none"/>
        </w:rPr>
        <w:t>具备履行合同所必需的设备和专业技术能力的证明材料</w:t>
      </w:r>
    </w:p>
    <w:p w14:paraId="683A2CE2">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根据资格条件要求提供相应材料。</w:t>
      </w:r>
    </w:p>
    <w:p w14:paraId="4619FA49">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b/>
          <w:bCs/>
          <w:color w:val="auto"/>
          <w:sz w:val="36"/>
          <w:szCs w:val="36"/>
          <w:highlight w:val="none"/>
        </w:rPr>
        <w:br w:type="page"/>
      </w:r>
      <w:r>
        <w:rPr>
          <w:rFonts w:ascii="Times New Roman" w:hAnsi="Times New Roman"/>
          <w:b/>
          <w:bCs/>
          <w:color w:val="auto"/>
          <w:sz w:val="28"/>
          <w:szCs w:val="28"/>
          <w:highlight w:val="none"/>
        </w:rPr>
        <w:t>5-</w:t>
      </w:r>
      <w:r>
        <w:rPr>
          <w:rFonts w:hint="eastAsia"/>
          <w:b/>
          <w:bCs/>
          <w:color w:val="auto"/>
          <w:sz w:val="28"/>
          <w:szCs w:val="28"/>
          <w:highlight w:val="none"/>
        </w:rPr>
        <w:t>6</w:t>
      </w:r>
      <w:r>
        <w:rPr>
          <w:rFonts w:ascii="Times New Roman" w:hAnsi="Times New Roman"/>
          <w:b/>
          <w:bCs/>
          <w:color w:val="auto"/>
          <w:sz w:val="28"/>
          <w:szCs w:val="28"/>
          <w:highlight w:val="none"/>
        </w:rPr>
        <w:t>参加本次政府采购活动前三年内在经营活动中</w:t>
      </w:r>
    </w:p>
    <w:p w14:paraId="29E1312B">
      <w:pPr>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没有重大违法记录的书面声明</w:t>
      </w:r>
    </w:p>
    <w:p w14:paraId="1A721610">
      <w:pPr>
        <w:spacing w:line="360" w:lineRule="auto"/>
        <w:ind w:firstLine="420" w:firstLineChars="200"/>
        <w:rPr>
          <w:color w:val="auto"/>
          <w:highlight w:val="none"/>
        </w:rPr>
      </w:pPr>
    </w:p>
    <w:p w14:paraId="15EF38A5">
      <w:pPr>
        <w:spacing w:line="360" w:lineRule="auto"/>
        <w:rPr>
          <w:color w:val="auto"/>
          <w:highlight w:val="none"/>
        </w:rPr>
      </w:pPr>
      <w:r>
        <w:rPr>
          <w:rFonts w:hint="eastAsia"/>
          <w:color w:val="auto"/>
          <w:highlight w:val="none"/>
        </w:rPr>
        <w:t>致________（采购人或采购代理机构）：</w:t>
      </w:r>
    </w:p>
    <w:p w14:paraId="5D4CE70B">
      <w:pPr>
        <w:spacing w:line="360" w:lineRule="auto"/>
        <w:ind w:firstLine="420" w:firstLineChars="200"/>
        <w:rPr>
          <w:color w:val="auto"/>
          <w:highlight w:val="none"/>
        </w:rPr>
      </w:pPr>
      <w:r>
        <w:rPr>
          <w:rFonts w:hint="eastAsia"/>
          <w:color w:val="auto"/>
          <w:highlight w:val="none"/>
        </w:rPr>
        <w:t>我单位在参加本次采购活动前三年内在经营活动中没有《政府采购法》第二十二条第一款第（五）项所称重大违法记录，包括：</w:t>
      </w:r>
    </w:p>
    <w:p w14:paraId="0506F88F">
      <w:pPr>
        <w:spacing w:line="360" w:lineRule="auto"/>
        <w:ind w:firstLine="420" w:firstLineChars="200"/>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14:paraId="441FC307">
      <w:pPr>
        <w:spacing w:line="360" w:lineRule="auto"/>
        <w:ind w:firstLine="420" w:firstLineChars="200"/>
        <w:rPr>
          <w:color w:val="auto"/>
          <w:highlight w:val="none"/>
        </w:rPr>
      </w:pPr>
      <w:r>
        <w:rPr>
          <w:rFonts w:hint="eastAsia"/>
          <w:color w:val="auto"/>
          <w:highlight w:val="none"/>
        </w:rPr>
        <w:t>特此声明！</w:t>
      </w:r>
    </w:p>
    <w:p w14:paraId="69D1743A">
      <w:pPr>
        <w:spacing w:line="360" w:lineRule="auto"/>
        <w:ind w:firstLine="420" w:firstLineChars="200"/>
        <w:rPr>
          <w:color w:val="auto"/>
          <w:highlight w:val="none"/>
        </w:rPr>
      </w:pPr>
    </w:p>
    <w:p w14:paraId="7606A473">
      <w:pPr>
        <w:spacing w:line="360" w:lineRule="auto"/>
        <w:ind w:firstLine="420" w:firstLineChars="200"/>
        <w:rPr>
          <w:color w:val="auto"/>
          <w:highlight w:val="none"/>
        </w:rPr>
      </w:pPr>
      <w:r>
        <w:rPr>
          <w:rFonts w:hint="eastAsia"/>
          <w:color w:val="auto"/>
          <w:highlight w:val="none"/>
        </w:rPr>
        <w:t>（请投标人根据实际情况如实声明，否则视为提供虚假材料。）</w:t>
      </w:r>
    </w:p>
    <w:p w14:paraId="6FDDA4DA">
      <w:pPr>
        <w:spacing w:line="360" w:lineRule="auto"/>
        <w:ind w:firstLine="420" w:firstLineChars="200"/>
        <w:rPr>
          <w:color w:val="auto"/>
          <w:highlight w:val="none"/>
        </w:rPr>
      </w:pPr>
    </w:p>
    <w:p w14:paraId="6AB25D44">
      <w:pPr>
        <w:spacing w:line="360" w:lineRule="auto"/>
        <w:ind w:firstLine="420" w:firstLineChars="200"/>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14:paraId="35748D12">
      <w:pPr>
        <w:spacing w:line="360" w:lineRule="auto"/>
        <w:ind w:firstLine="420" w:firstLineChars="200"/>
        <w:rPr>
          <w:color w:val="auto"/>
          <w:highlight w:val="none"/>
        </w:rPr>
      </w:pPr>
      <w:r>
        <w:rPr>
          <w:rFonts w:hint="eastAsia"/>
          <w:color w:val="auto"/>
          <w:highlight w:val="none"/>
        </w:rPr>
        <w:t xml:space="preserve">投标人代表（签字或盖章）：             </w:t>
      </w:r>
    </w:p>
    <w:p w14:paraId="71598570">
      <w:pPr>
        <w:spacing w:line="360" w:lineRule="auto"/>
        <w:ind w:firstLine="420" w:firstLineChars="200"/>
        <w:rPr>
          <w:color w:val="auto"/>
          <w:highlight w:val="none"/>
        </w:rPr>
      </w:pPr>
      <w:r>
        <w:rPr>
          <w:rFonts w:hint="eastAsia"/>
          <w:color w:val="auto"/>
          <w:highlight w:val="none"/>
        </w:rPr>
        <w:t xml:space="preserve">日期：                                 </w:t>
      </w:r>
    </w:p>
    <w:p w14:paraId="2A108DB0">
      <w:pPr>
        <w:widowControl/>
        <w:jc w:val="center"/>
        <w:rPr>
          <w:rFonts w:hint="eastAsia" w:ascii="宋体" w:hAnsi="宋体" w:cs="宋体"/>
          <w:b/>
          <w:bCs/>
          <w:color w:val="auto"/>
          <w:sz w:val="28"/>
          <w:szCs w:val="28"/>
          <w:highlight w:val="none"/>
        </w:rPr>
      </w:pPr>
      <w:r>
        <w:rPr>
          <w:rFonts w:hAnsi="宋体" w:cs="宋体"/>
          <w:color w:val="auto"/>
          <w:szCs w:val="21"/>
          <w:highlight w:val="none"/>
        </w:rPr>
        <w:br w:type="page"/>
      </w:r>
      <w:r>
        <w:rPr>
          <w:rFonts w:ascii="Times New Roman" w:hAnsi="Times New Roman"/>
          <w:b/>
          <w:bCs/>
          <w:color w:val="auto"/>
          <w:sz w:val="28"/>
          <w:szCs w:val="28"/>
          <w:highlight w:val="none"/>
        </w:rPr>
        <w:t>5-</w:t>
      </w:r>
      <w:r>
        <w:rPr>
          <w:rFonts w:hint="eastAsia"/>
          <w:b/>
          <w:bCs/>
          <w:color w:val="auto"/>
          <w:sz w:val="28"/>
          <w:szCs w:val="28"/>
          <w:highlight w:val="none"/>
        </w:rPr>
        <w:t>7</w:t>
      </w:r>
      <w:r>
        <w:rPr>
          <w:rFonts w:ascii="Times New Roman" w:hAnsi="Times New Roman"/>
          <w:b/>
          <w:bCs/>
          <w:color w:val="auto"/>
          <w:sz w:val="28"/>
          <w:szCs w:val="28"/>
          <w:highlight w:val="none"/>
        </w:rPr>
        <w:t>具备法律、行政法规规定的其他条件的证明材料</w:t>
      </w:r>
    </w:p>
    <w:p w14:paraId="026B3C0D">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根据资格条件要求提供相应材料。</w:t>
      </w:r>
    </w:p>
    <w:p w14:paraId="26328B8D">
      <w:pPr>
        <w:widowControl/>
        <w:jc w:val="center"/>
        <w:rPr>
          <w:rFonts w:ascii="Times New Roman" w:hAnsi="Times New Roman"/>
          <w:b/>
          <w:bCs/>
          <w:color w:val="auto"/>
          <w:sz w:val="28"/>
          <w:szCs w:val="28"/>
          <w:highlight w:val="none"/>
        </w:rPr>
      </w:pPr>
      <w:r>
        <w:rPr>
          <w:rFonts w:ascii="宋体" w:hAnsi="宋体" w:cs="宋体"/>
          <w:b/>
          <w:bCs/>
          <w:color w:val="auto"/>
          <w:sz w:val="36"/>
          <w:szCs w:val="36"/>
          <w:highlight w:val="none"/>
        </w:rPr>
        <w:br w:type="page"/>
      </w:r>
      <w:r>
        <w:rPr>
          <w:rFonts w:ascii="Times New Roman" w:hAnsi="Times New Roman"/>
          <w:b/>
          <w:bCs/>
          <w:color w:val="auto"/>
          <w:sz w:val="28"/>
          <w:szCs w:val="28"/>
          <w:highlight w:val="none"/>
        </w:rPr>
        <w:t>5-</w:t>
      </w:r>
      <w:r>
        <w:rPr>
          <w:rFonts w:hint="eastAsia"/>
          <w:b/>
          <w:bCs/>
          <w:color w:val="auto"/>
          <w:sz w:val="28"/>
          <w:szCs w:val="28"/>
          <w:highlight w:val="none"/>
        </w:rPr>
        <w:t>8</w:t>
      </w:r>
      <w:r>
        <w:rPr>
          <w:rFonts w:ascii="Times New Roman" w:hAnsi="Times New Roman"/>
          <w:b/>
          <w:bCs/>
          <w:color w:val="auto"/>
          <w:sz w:val="28"/>
          <w:szCs w:val="28"/>
          <w:highlight w:val="none"/>
        </w:rPr>
        <w:t>联合体协议（若有）</w:t>
      </w:r>
    </w:p>
    <w:p w14:paraId="25E02A8F">
      <w:pPr>
        <w:pStyle w:val="12"/>
        <w:topLinePunct/>
        <w:autoSpaceDE w:val="0"/>
        <w:autoSpaceDN w:val="0"/>
        <w:snapToGrid w:val="0"/>
        <w:spacing w:line="360" w:lineRule="auto"/>
        <w:jc w:val="center"/>
        <w:rPr>
          <w:rFonts w:hint="eastAsia" w:hAnsi="宋体" w:cs="宋体"/>
          <w:b/>
          <w:color w:val="auto"/>
          <w:w w:val="150"/>
          <w:sz w:val="24"/>
          <w:highlight w:val="none"/>
        </w:rPr>
      </w:pPr>
    </w:p>
    <w:p w14:paraId="6D95132D">
      <w:pPr>
        <w:spacing w:line="360" w:lineRule="auto"/>
        <w:rPr>
          <w:rFonts w:ascii="Times New Roman" w:hAnsi="Times New Roman"/>
          <w:color w:val="auto"/>
          <w:highlight w:val="none"/>
        </w:rPr>
      </w:pPr>
      <w:r>
        <w:rPr>
          <w:rFonts w:ascii="Times New Roman" w:hAnsi="Times New Roman"/>
          <w:color w:val="auto"/>
          <w:highlight w:val="none"/>
        </w:rPr>
        <w:t>致________（采购人或采购代理机构）：</w:t>
      </w:r>
    </w:p>
    <w:p w14:paraId="45CA538A">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经研究，我方决定自愿组成联合体共同参加____________(项目名称、项目编号)项目的投标。现就联合体投标事宜订立如下协议：</w:t>
      </w:r>
    </w:p>
    <w:p w14:paraId="1A2D7FD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一、联合体成员：</w:t>
      </w:r>
    </w:p>
    <w:p w14:paraId="48DDAD00">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1.____________________</w:t>
      </w:r>
    </w:p>
    <w:p w14:paraId="44669103">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2.____________________</w:t>
      </w:r>
    </w:p>
    <w:p w14:paraId="17FE72EE">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3.____________________</w:t>
      </w:r>
    </w:p>
    <w:p w14:paraId="3CFFC571">
      <w:pPr>
        <w:spacing w:line="360" w:lineRule="auto"/>
        <w:ind w:firstLine="420" w:firstLineChars="200"/>
        <w:rPr>
          <w:rFonts w:hint="eastAsia" w:ascii="宋体" w:hAnsi="宋体"/>
          <w:color w:val="auto"/>
          <w:szCs w:val="21"/>
          <w:highlight w:val="none"/>
        </w:rPr>
      </w:pPr>
      <w:r>
        <w:rPr>
          <w:rFonts w:ascii="Times New Roman" w:hAnsi="Times New Roman"/>
          <w:color w:val="auto"/>
          <w:szCs w:val="21"/>
          <w:highlight w:val="none"/>
        </w:rPr>
        <w:t>二、____________(某成员单位名称)为____________(联合</w:t>
      </w:r>
      <w:r>
        <w:rPr>
          <w:rFonts w:hint="eastAsia" w:ascii="宋体" w:hAnsi="宋体"/>
          <w:color w:val="auto"/>
          <w:szCs w:val="21"/>
          <w:highlight w:val="none"/>
        </w:rPr>
        <w:t>体名称)牵头人。</w:t>
      </w:r>
    </w:p>
    <w:p w14:paraId="5C7109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106914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四、联合体将严格按照招标文件的各项要求，递交投标文件，参加投标，履行中标义务和中标后的合同，并向采购人承担连带责任。</w:t>
      </w:r>
    </w:p>
    <w:p w14:paraId="57B19D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五、联合体各成员单位内部的职责分工如下：____________。按照本条上述分工，联合体成员单位各自所承担的合同工作量比例如下：____________。</w:t>
      </w:r>
    </w:p>
    <w:p w14:paraId="492845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六、本协议书自签署之日起生效，合同履行完毕后自动失效。</w:t>
      </w:r>
    </w:p>
    <w:p w14:paraId="1853DE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七、本协议书一式______份，联合体成员和采购人各执一份。</w:t>
      </w:r>
    </w:p>
    <w:p w14:paraId="1DD97C8A">
      <w:pPr>
        <w:spacing w:line="360" w:lineRule="auto"/>
        <w:ind w:firstLine="420" w:firstLineChars="200"/>
        <w:rPr>
          <w:rFonts w:hint="eastAsia" w:ascii="宋体" w:hAnsi="宋体"/>
          <w:color w:val="auto"/>
          <w:szCs w:val="21"/>
          <w:highlight w:val="none"/>
        </w:rPr>
      </w:pPr>
    </w:p>
    <w:p w14:paraId="1CBA8CB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牵头人名称(公章)：____________</w:t>
      </w:r>
    </w:p>
    <w:p w14:paraId="58C00A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法定代表人或其授权代表(签字或盖章)：____________</w:t>
      </w:r>
    </w:p>
    <w:p w14:paraId="560EABA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成员名称(公章)：____________</w:t>
      </w:r>
    </w:p>
    <w:p w14:paraId="188590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法定代表人或其授权代表(签字或盖章)：____________</w:t>
      </w:r>
    </w:p>
    <w:p w14:paraId="07525CB6">
      <w:pPr>
        <w:spacing w:line="360" w:lineRule="auto"/>
        <w:ind w:firstLine="420" w:firstLineChars="200"/>
        <w:rPr>
          <w:rFonts w:hint="eastAsia" w:ascii="宋体" w:hAnsi="宋体"/>
          <w:color w:val="auto"/>
          <w:szCs w:val="21"/>
          <w:highlight w:val="none"/>
        </w:rPr>
      </w:pPr>
    </w:p>
    <w:p w14:paraId="74A16923">
      <w:pPr>
        <w:spacing w:line="360" w:lineRule="auto"/>
        <w:ind w:firstLine="420" w:firstLineChars="200"/>
        <w:jc w:val="right"/>
        <w:rPr>
          <w:rFonts w:hint="eastAsia" w:ascii="宋体" w:hAnsi="宋体"/>
          <w:color w:val="auto"/>
          <w:szCs w:val="21"/>
          <w:highlight w:val="none"/>
        </w:rPr>
      </w:pPr>
      <w:r>
        <w:rPr>
          <w:rFonts w:hint="eastAsia" w:ascii="宋体" w:hAnsi="宋体"/>
          <w:color w:val="auto"/>
          <w:szCs w:val="21"/>
          <w:highlight w:val="none"/>
        </w:rPr>
        <w:t>______年____月____日</w:t>
      </w:r>
    </w:p>
    <w:p w14:paraId="458E2D27">
      <w:pPr>
        <w:spacing w:line="360" w:lineRule="auto"/>
        <w:ind w:firstLine="420" w:firstLineChars="200"/>
        <w:rPr>
          <w:rFonts w:hint="eastAsia" w:ascii="宋体" w:hAnsi="宋体"/>
          <w:color w:val="auto"/>
          <w:szCs w:val="21"/>
          <w:highlight w:val="none"/>
        </w:rPr>
      </w:pPr>
    </w:p>
    <w:p w14:paraId="7A896A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备注：本协议书由授权代表签字的，应附法定代表人签字的授权委托书。</w:t>
      </w:r>
    </w:p>
    <w:p w14:paraId="32E8F43E">
      <w:pPr>
        <w:widowControl/>
        <w:jc w:val="center"/>
        <w:rPr>
          <w:rFonts w:ascii="Times New Roman" w:hAnsi="Times New Roman"/>
          <w:b/>
          <w:bCs/>
          <w:color w:val="auto"/>
          <w:sz w:val="28"/>
          <w:szCs w:val="28"/>
          <w:highlight w:val="none"/>
        </w:rPr>
      </w:pPr>
      <w:r>
        <w:rPr>
          <w:rFonts w:hAnsi="宋体" w:cs="宋体"/>
          <w:color w:val="auto"/>
          <w:szCs w:val="21"/>
          <w:highlight w:val="none"/>
        </w:rPr>
        <w:br w:type="page"/>
      </w:r>
      <w:r>
        <w:rPr>
          <w:rFonts w:ascii="Times New Roman" w:hAnsi="Times New Roman"/>
          <w:b/>
          <w:bCs/>
          <w:color w:val="auto"/>
          <w:sz w:val="28"/>
          <w:szCs w:val="28"/>
          <w:highlight w:val="none"/>
        </w:rPr>
        <w:t>5-</w:t>
      </w:r>
      <w:r>
        <w:rPr>
          <w:rFonts w:hint="eastAsia"/>
          <w:b/>
          <w:bCs/>
          <w:color w:val="auto"/>
          <w:sz w:val="28"/>
          <w:szCs w:val="28"/>
          <w:highlight w:val="none"/>
        </w:rPr>
        <w:t>9</w:t>
      </w:r>
      <w:r>
        <w:rPr>
          <w:rFonts w:ascii="Times New Roman" w:hAnsi="Times New Roman"/>
          <w:b/>
          <w:bCs/>
          <w:color w:val="auto"/>
          <w:sz w:val="28"/>
          <w:szCs w:val="28"/>
          <w:highlight w:val="none"/>
        </w:rPr>
        <w:t>其他资格证明文件（若有）</w:t>
      </w:r>
    </w:p>
    <w:p w14:paraId="50A750DB">
      <w:pPr>
        <w:rPr>
          <w:color w:val="auto"/>
          <w:highlight w:val="none"/>
        </w:rPr>
      </w:pPr>
    </w:p>
    <w:p w14:paraId="517B3438">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根据资格条件要求提供相应材料。</w:t>
      </w:r>
    </w:p>
    <w:p w14:paraId="4B445BC8">
      <w:pPr>
        <w:rPr>
          <w:rFonts w:hint="eastAsia" w:ascii="宋体" w:hAnsi="宋体" w:cs="宋体"/>
          <w:color w:val="auto"/>
          <w:sz w:val="24"/>
          <w:highlight w:val="none"/>
        </w:rPr>
      </w:pPr>
    </w:p>
    <w:p w14:paraId="111415B0">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14:paraId="15CCAA8C">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14:paraId="6F91C139">
      <w:pPr>
        <w:widowControl/>
        <w:spacing w:line="360" w:lineRule="auto"/>
        <w:ind w:firstLine="480" w:firstLineChars="200"/>
        <w:jc w:val="left"/>
        <w:rPr>
          <w:rFonts w:hint="eastAsia" w:ascii="宋体" w:hAnsi="宋体" w:cs="宋体"/>
          <w:color w:val="auto"/>
          <w:kern w:val="0"/>
          <w:sz w:val="24"/>
          <w:highlight w:val="none"/>
        </w:rPr>
      </w:pPr>
    </w:p>
    <w:p w14:paraId="231ACCDB">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本公司（联合体）郑重声明，根据《政府采购促进中小企业发展管理办法》（财库﹝2020﹞46 号）的规定，本公司（联合体）参加</w:t>
      </w:r>
      <w:r>
        <w:rPr>
          <w:rFonts w:ascii="Times New Roman" w:hAnsi="Times New Roman" w:cs="Times New Roman"/>
          <w:i/>
          <w:iCs/>
          <w:color w:val="auto"/>
          <w:highlight w:val="none"/>
          <w:u w:val="single"/>
        </w:rPr>
        <w:t>（单位名称）</w:t>
      </w:r>
      <w:r>
        <w:rPr>
          <w:rFonts w:ascii="Times New Roman" w:hAnsi="Times New Roman" w:cs="Times New Roman"/>
          <w:color w:val="auto"/>
          <w:highlight w:val="none"/>
        </w:rPr>
        <w:t>的</w:t>
      </w:r>
      <w:r>
        <w:rPr>
          <w:rFonts w:ascii="Times New Roman" w:hAnsi="Times New Roman" w:cs="Times New Roman"/>
          <w:i/>
          <w:iCs/>
          <w:color w:val="auto"/>
          <w:highlight w:val="none"/>
          <w:u w:val="single"/>
        </w:rPr>
        <w:t>（项目名称）</w:t>
      </w:r>
      <w:r>
        <w:rPr>
          <w:rFonts w:ascii="Times New Roman" w:hAnsi="Times New Roman" w:cs="Times New Roman"/>
          <w:color w:val="auto"/>
          <w:highlight w:val="none"/>
        </w:rPr>
        <w:t>采购活动，服务全部由符合政策要求的中小企业承接。相关企业（含联合体中的中小企业、签订分包意向协议的中小企业）的具体情况如下：</w:t>
      </w:r>
    </w:p>
    <w:p w14:paraId="4193EB6A">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ascii="Times New Roman" w:hAnsi="Times New Roman" w:cs="Times New Roman"/>
          <w:i/>
          <w:iCs/>
          <w:color w:val="auto"/>
          <w:highlight w:val="none"/>
          <w:u w:val="single"/>
        </w:rPr>
        <w:t xml:space="preserve"> （标的名称） </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（采购文件中明确的所属行业）</w:t>
      </w:r>
      <w:r>
        <w:rPr>
          <w:rFonts w:ascii="Times New Roman" w:hAnsi="Times New Roman" w:cs="Times New Roman"/>
          <w:color w:val="auto"/>
          <w:highlight w:val="none"/>
        </w:rPr>
        <w:t>；承建（承接）企业为</w:t>
      </w:r>
      <w:r>
        <w:rPr>
          <w:rFonts w:ascii="Times New Roman" w:hAnsi="Times New Roman" w:cs="Times New Roman"/>
          <w:i/>
          <w:iCs/>
          <w:color w:val="auto"/>
          <w:highlight w:val="none"/>
          <w:u w:val="single"/>
        </w:rPr>
        <w:t>（企业名称）</w:t>
      </w:r>
      <w:r>
        <w:rPr>
          <w:rFonts w:ascii="Times New Roman" w:hAnsi="Times New Roman" w:cs="Times New Roman"/>
          <w:color w:val="auto"/>
          <w:highlight w:val="none"/>
        </w:rPr>
        <w:t>，从业人员</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人，营业收入为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万元，资产总额为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w:t>
      </w:r>
      <w:r>
        <w:rPr>
          <w:rFonts w:ascii="Times New Roman" w:hAnsi="Times New Roman" w:cs="Times New Roman"/>
          <w:color w:val="auto"/>
          <w:highlight w:val="none"/>
          <w:vertAlign w:val="superscript"/>
        </w:rPr>
        <w:t>1</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（中型企业、小型企业、微型企业）</w:t>
      </w:r>
      <w:r>
        <w:rPr>
          <w:rFonts w:ascii="Times New Roman" w:hAnsi="Times New Roman" w:cs="Times New Roman"/>
          <w:color w:val="auto"/>
          <w:highlight w:val="none"/>
        </w:rPr>
        <w:t xml:space="preserve">； </w:t>
      </w:r>
    </w:p>
    <w:p w14:paraId="528C82CD">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ascii="Times New Roman" w:hAnsi="Times New Roman" w:cs="Times New Roman"/>
          <w:i/>
          <w:iCs/>
          <w:color w:val="auto"/>
          <w:highlight w:val="none"/>
          <w:u w:val="single"/>
        </w:rPr>
        <w:t xml:space="preserve"> （标的名称） </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（采购文件中明确的所属行业）</w:t>
      </w:r>
      <w:r>
        <w:rPr>
          <w:rFonts w:ascii="Times New Roman" w:hAnsi="Times New Roman" w:cs="Times New Roman"/>
          <w:color w:val="auto"/>
          <w:highlight w:val="none"/>
        </w:rPr>
        <w:t>；承建（承接）企业为</w:t>
      </w:r>
      <w:r>
        <w:rPr>
          <w:rFonts w:ascii="Times New Roman" w:hAnsi="Times New Roman" w:cs="Times New Roman"/>
          <w:i/>
          <w:iCs/>
          <w:color w:val="auto"/>
          <w:highlight w:val="none"/>
          <w:u w:val="single"/>
        </w:rPr>
        <w:t>（企业名称）</w:t>
      </w:r>
      <w:r>
        <w:rPr>
          <w:rFonts w:ascii="Times New Roman" w:hAnsi="Times New Roman" w:cs="Times New Roman"/>
          <w:color w:val="auto"/>
          <w:highlight w:val="none"/>
        </w:rPr>
        <w:t>，从业人员</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人，营业收入为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万元，资产总额为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w:t>
      </w:r>
      <w:r>
        <w:rPr>
          <w:rFonts w:ascii="Times New Roman" w:hAnsi="Times New Roman" w:cs="Times New Roman"/>
          <w:color w:val="auto"/>
          <w:highlight w:val="none"/>
          <w:vertAlign w:val="superscript"/>
        </w:rPr>
        <w:t>1</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（中型企业、小型企业、微型企业）</w:t>
      </w:r>
      <w:r>
        <w:rPr>
          <w:rFonts w:ascii="Times New Roman" w:hAnsi="Times New Roman" w:cs="Times New Roman"/>
          <w:color w:val="auto"/>
          <w:highlight w:val="none"/>
        </w:rPr>
        <w:t xml:space="preserve">； </w:t>
      </w:r>
    </w:p>
    <w:p w14:paraId="2EE6AB66">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w:t>
      </w:r>
    </w:p>
    <w:p w14:paraId="58E77C47">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以上企业，不属于大企业的分支机构，不存在控股股东为大企业的情形，也不存在与大企业的负责人为同一人的情形。</w:t>
      </w:r>
    </w:p>
    <w:p w14:paraId="5708FDE5">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 xml:space="preserve">本企业对上述声明内容的真实性负责。如有虚假，将依法承担相应责任。 </w:t>
      </w:r>
    </w:p>
    <w:p w14:paraId="3B36A74C">
      <w:pPr>
        <w:pStyle w:val="12"/>
        <w:snapToGrid w:val="0"/>
        <w:spacing w:line="360" w:lineRule="auto"/>
        <w:ind w:firstLine="420" w:firstLineChars="200"/>
        <w:rPr>
          <w:rFonts w:ascii="Times New Roman" w:hAnsi="Times New Roman" w:cs="Times New Roman"/>
          <w:color w:val="auto"/>
          <w:highlight w:val="none"/>
        </w:rPr>
      </w:pPr>
    </w:p>
    <w:p w14:paraId="6AEA5C78">
      <w:pPr>
        <w:pStyle w:val="12"/>
        <w:snapToGrid w:val="0"/>
        <w:spacing w:line="360" w:lineRule="auto"/>
        <w:ind w:firstLine="420" w:firstLineChars="200"/>
        <w:rPr>
          <w:rFonts w:ascii="Times New Roman" w:hAnsi="Times New Roman" w:cs="Times New Roman"/>
          <w:color w:val="auto"/>
          <w:highlight w:val="none"/>
        </w:rPr>
      </w:pPr>
    </w:p>
    <w:p w14:paraId="049E0E99">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7D097929">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14:paraId="20375709">
      <w:pPr>
        <w:pStyle w:val="12"/>
        <w:snapToGrid w:val="0"/>
        <w:spacing w:line="360" w:lineRule="auto"/>
        <w:ind w:firstLine="480" w:firstLineChars="200"/>
        <w:rPr>
          <w:rFonts w:hint="eastAsia" w:hAnsi="宋体" w:cs="宋体"/>
          <w:color w:val="auto"/>
          <w:sz w:val="24"/>
          <w:szCs w:val="24"/>
          <w:highlight w:val="none"/>
        </w:rPr>
      </w:pPr>
    </w:p>
    <w:p w14:paraId="4CA587CB">
      <w:pPr>
        <w:pStyle w:val="12"/>
        <w:snapToGrid w:val="0"/>
        <w:spacing w:line="360" w:lineRule="auto"/>
        <w:ind w:firstLine="480" w:firstLineChars="200"/>
        <w:rPr>
          <w:rFonts w:hint="eastAsia" w:hAnsi="宋体" w:cs="宋体"/>
          <w:color w:val="auto"/>
          <w:sz w:val="24"/>
          <w:szCs w:val="24"/>
          <w:highlight w:val="none"/>
        </w:rPr>
      </w:pPr>
    </w:p>
    <w:p w14:paraId="0550D601">
      <w:pPr>
        <w:widowControl/>
        <w:rPr>
          <w:color w:val="auto"/>
          <w:highlight w:val="none"/>
        </w:rPr>
      </w:pPr>
    </w:p>
    <w:p w14:paraId="1EAD2620">
      <w:pPr>
        <w:widowControl/>
        <w:jc w:val="left"/>
        <w:rPr>
          <w:color w:val="auto"/>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079AC5C8">
      <w:pPr>
        <w:pStyle w:val="12"/>
        <w:snapToGrid w:val="0"/>
        <w:spacing w:line="360" w:lineRule="auto"/>
        <w:ind w:firstLine="480" w:firstLineChars="200"/>
        <w:rPr>
          <w:rFonts w:hint="eastAsia" w:hAnsi="宋体" w:cs="宋体"/>
          <w:color w:val="auto"/>
          <w:sz w:val="24"/>
          <w:szCs w:val="24"/>
          <w:highlight w:val="none"/>
        </w:rPr>
      </w:pPr>
    </w:p>
    <w:p w14:paraId="7CE6599E">
      <w:pPr>
        <w:topLinePunct/>
        <w:autoSpaceDE w:val="0"/>
        <w:autoSpaceDN w:val="0"/>
        <w:spacing w:line="460" w:lineRule="exact"/>
        <w:jc w:val="center"/>
        <w:rPr>
          <w:rFonts w:hint="eastAsia" w:ascii="宋体" w:hAnsi="宋体" w:cs="宋体"/>
          <w:b/>
          <w:bCs/>
          <w:color w:val="auto"/>
          <w:sz w:val="28"/>
          <w:szCs w:val="28"/>
          <w:highlight w:val="none"/>
        </w:rPr>
      </w:pPr>
      <w:r>
        <w:rPr>
          <w:rFonts w:hint="eastAsia"/>
          <w:color w:val="auto"/>
          <w:sz w:val="24"/>
          <w:highlight w:val="none"/>
        </w:rPr>
        <w:br w:type="page"/>
      </w:r>
      <w:r>
        <w:rPr>
          <w:rFonts w:hint="eastAsia" w:ascii="宋体" w:hAnsi="宋体" w:cs="宋体"/>
          <w:b/>
          <w:bCs/>
          <w:color w:val="auto"/>
          <w:sz w:val="28"/>
          <w:szCs w:val="28"/>
          <w:highlight w:val="none"/>
        </w:rPr>
        <w:t>中小企业声明函（货物）</w:t>
      </w:r>
    </w:p>
    <w:p w14:paraId="7F226EA6">
      <w:pPr>
        <w:rPr>
          <w:color w:val="auto"/>
          <w:highlight w:val="none"/>
        </w:rPr>
      </w:pPr>
    </w:p>
    <w:p w14:paraId="7FBCD6EA">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本公司（联合体）郑重声明，根据《政府采购促进中小企业发展管理办法》（财库﹝2020﹞46 号）的规定，本公司（联合体）参加</w:t>
      </w:r>
      <w:r>
        <w:rPr>
          <w:rFonts w:ascii="Times New Roman" w:hAnsi="Times New Roman" w:cs="Times New Roman"/>
          <w:i/>
          <w:iCs/>
          <w:color w:val="auto"/>
          <w:highlight w:val="none"/>
          <w:u w:val="single"/>
        </w:rPr>
        <w:t>（单位名称）</w:t>
      </w:r>
      <w:r>
        <w:rPr>
          <w:rFonts w:ascii="Times New Roman" w:hAnsi="Times New Roman" w:cs="Times New Roman"/>
          <w:color w:val="auto"/>
          <w:highlight w:val="none"/>
        </w:rPr>
        <w:t>的</w:t>
      </w:r>
      <w:r>
        <w:rPr>
          <w:rFonts w:ascii="Times New Roman" w:hAnsi="Times New Roman" w:cs="Times New Roman"/>
          <w:i/>
          <w:iCs/>
          <w:color w:val="auto"/>
          <w:highlight w:val="none"/>
          <w:u w:val="single"/>
        </w:rPr>
        <w:t>（项目名称）</w:t>
      </w:r>
      <w:r>
        <w:rPr>
          <w:rFonts w:ascii="Times New Roman" w:hAnsi="Times New Roman" w:cs="Times New Roman"/>
          <w:color w:val="auto"/>
          <w:highlight w:val="none"/>
        </w:rPr>
        <w:t>采购活动，提供的货物全部由符合政策要求的中小企业制造。相关企业（含联合体中的中小企业、签订分包意向协议的中小企业）的具体情况如下：</w:t>
      </w:r>
    </w:p>
    <w:p w14:paraId="59B210DB">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 xml:space="preserve">1. </w:t>
      </w:r>
      <w:r>
        <w:rPr>
          <w:rFonts w:ascii="Times New Roman" w:hAnsi="Times New Roman" w:cs="Times New Roman"/>
          <w:i/>
          <w:iCs/>
          <w:color w:val="auto"/>
          <w:highlight w:val="none"/>
          <w:u w:val="single"/>
        </w:rPr>
        <w:t xml:space="preserve">（标的名称） </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（采购文件中明确的所属行业）</w:t>
      </w:r>
      <w:r>
        <w:rPr>
          <w:rFonts w:ascii="Times New Roman" w:hAnsi="Times New Roman" w:cs="Times New Roman"/>
          <w:color w:val="auto"/>
          <w:highlight w:val="none"/>
        </w:rPr>
        <w:t>行业；制造商为</w:t>
      </w:r>
      <w:r>
        <w:rPr>
          <w:rFonts w:ascii="Times New Roman" w:hAnsi="Times New Roman" w:cs="Times New Roman"/>
          <w:i/>
          <w:iCs/>
          <w:color w:val="auto"/>
          <w:highlight w:val="none"/>
          <w:u w:val="single"/>
        </w:rPr>
        <w:t>（企业名称）</w:t>
      </w:r>
      <w:r>
        <w:rPr>
          <w:rFonts w:ascii="Times New Roman" w:hAnsi="Times New Roman" w:cs="Times New Roman"/>
          <w:color w:val="auto"/>
          <w:highlight w:val="none"/>
        </w:rPr>
        <w:t>，从业人员</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人，营业收入为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万元，资产总额为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w:t>
      </w:r>
      <w:r>
        <w:rPr>
          <w:rFonts w:ascii="Times New Roman" w:hAnsi="Times New Roman" w:cs="Times New Roman"/>
          <w:color w:val="auto"/>
          <w:highlight w:val="none"/>
          <w:vertAlign w:val="superscript"/>
        </w:rPr>
        <w:t>1</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（中型企业、小型企业、微型企业）</w:t>
      </w:r>
      <w:r>
        <w:rPr>
          <w:rFonts w:ascii="Times New Roman" w:hAnsi="Times New Roman" w:cs="Times New Roman"/>
          <w:color w:val="auto"/>
          <w:highlight w:val="none"/>
        </w:rPr>
        <w:t xml:space="preserve">； </w:t>
      </w:r>
    </w:p>
    <w:p w14:paraId="5B9099D3">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 xml:space="preserve">2. </w:t>
      </w:r>
      <w:r>
        <w:rPr>
          <w:rFonts w:ascii="Times New Roman" w:hAnsi="Times New Roman" w:cs="Times New Roman"/>
          <w:i/>
          <w:iCs/>
          <w:color w:val="auto"/>
          <w:highlight w:val="none"/>
          <w:u w:val="single"/>
        </w:rPr>
        <w:t>（标的名称）</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（采购文件中明确的所属行业）</w:t>
      </w:r>
      <w:r>
        <w:rPr>
          <w:rFonts w:ascii="Times New Roman" w:hAnsi="Times New Roman" w:cs="Times New Roman"/>
          <w:color w:val="auto"/>
          <w:highlight w:val="none"/>
        </w:rPr>
        <w:t>行业；制造商为</w:t>
      </w:r>
      <w:r>
        <w:rPr>
          <w:rFonts w:ascii="Times New Roman" w:hAnsi="Times New Roman" w:cs="Times New Roman"/>
          <w:i/>
          <w:iCs/>
          <w:color w:val="auto"/>
          <w:highlight w:val="none"/>
          <w:u w:val="single"/>
        </w:rPr>
        <w:t>（企业名称）</w:t>
      </w:r>
      <w:r>
        <w:rPr>
          <w:rFonts w:ascii="Times New Roman" w:hAnsi="Times New Roman" w:cs="Times New Roman"/>
          <w:color w:val="auto"/>
          <w:highlight w:val="none"/>
        </w:rPr>
        <w:t>，从业人员</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人，营业收入为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万元，资产总额为</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万元</w:t>
      </w:r>
      <w:r>
        <w:rPr>
          <w:rFonts w:ascii="Times New Roman" w:hAnsi="Times New Roman" w:cs="Times New Roman"/>
          <w:color w:val="auto"/>
          <w:highlight w:val="none"/>
          <w:vertAlign w:val="superscript"/>
        </w:rPr>
        <w:t>1</w:t>
      </w:r>
      <w:r>
        <w:rPr>
          <w:rFonts w:ascii="Times New Roman" w:hAnsi="Times New Roman" w:cs="Times New Roman"/>
          <w:color w:val="auto"/>
          <w:highlight w:val="none"/>
        </w:rPr>
        <w:t>，属于</w:t>
      </w:r>
      <w:r>
        <w:rPr>
          <w:rFonts w:ascii="Times New Roman" w:hAnsi="Times New Roman" w:cs="Times New Roman"/>
          <w:i/>
          <w:iCs/>
          <w:color w:val="auto"/>
          <w:highlight w:val="none"/>
          <w:u w:val="single"/>
        </w:rPr>
        <w:t>（中型企业、小型企业、微型企业）</w:t>
      </w:r>
      <w:r>
        <w:rPr>
          <w:rFonts w:ascii="Times New Roman" w:hAnsi="Times New Roman" w:cs="Times New Roman"/>
          <w:color w:val="auto"/>
          <w:highlight w:val="none"/>
        </w:rPr>
        <w:t xml:space="preserve">； </w:t>
      </w:r>
    </w:p>
    <w:p w14:paraId="61ACB8D2">
      <w:pPr>
        <w:pStyle w:val="12"/>
        <w:snapToGrid w:val="0"/>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w:t>
      </w:r>
    </w:p>
    <w:p w14:paraId="774FCAC2">
      <w:pPr>
        <w:widowControl/>
        <w:spacing w:line="360" w:lineRule="auto"/>
        <w:ind w:firstLine="420" w:firstLineChars="200"/>
        <w:jc w:val="left"/>
        <w:rPr>
          <w:rFonts w:ascii="Times New Roman" w:hAnsi="Times New Roman"/>
          <w:color w:val="auto"/>
          <w:szCs w:val="21"/>
          <w:highlight w:val="none"/>
        </w:rPr>
      </w:pPr>
      <w:r>
        <w:rPr>
          <w:rFonts w:ascii="Times New Roman" w:hAnsi="Times New Roman"/>
          <w:color w:val="auto"/>
          <w:kern w:val="0"/>
          <w:szCs w:val="21"/>
          <w:highlight w:val="none"/>
        </w:rPr>
        <w:t>以上企业，不属于大企业的分支机构，不存在控股股东为大企业的情形，也不存在与大企业的负责人为同一人的情形。</w:t>
      </w:r>
    </w:p>
    <w:p w14:paraId="30872465">
      <w:pPr>
        <w:widowControl/>
        <w:spacing w:line="360" w:lineRule="auto"/>
        <w:ind w:firstLine="420" w:firstLineChars="200"/>
        <w:jc w:val="left"/>
        <w:rPr>
          <w:rFonts w:ascii="Times New Roman" w:hAnsi="Times New Roman"/>
          <w:color w:val="auto"/>
          <w:szCs w:val="21"/>
          <w:highlight w:val="none"/>
        </w:rPr>
      </w:pPr>
      <w:r>
        <w:rPr>
          <w:rFonts w:ascii="Times New Roman" w:hAnsi="Times New Roman"/>
          <w:color w:val="auto"/>
          <w:kern w:val="0"/>
          <w:szCs w:val="21"/>
          <w:highlight w:val="none"/>
        </w:rPr>
        <w:t xml:space="preserve">本企业对上述声明内容的真实性负责。如有虚假，将依法承担相应责任。 </w:t>
      </w:r>
    </w:p>
    <w:p w14:paraId="52814833">
      <w:pPr>
        <w:widowControl/>
        <w:spacing w:line="360" w:lineRule="auto"/>
        <w:ind w:firstLine="1680" w:firstLineChars="800"/>
        <w:jc w:val="left"/>
        <w:rPr>
          <w:rFonts w:ascii="Times New Roman" w:hAnsi="Times New Roman"/>
          <w:color w:val="auto"/>
          <w:kern w:val="0"/>
          <w:szCs w:val="21"/>
          <w:highlight w:val="none"/>
        </w:rPr>
      </w:pPr>
    </w:p>
    <w:p w14:paraId="355FCE4D">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4280479D">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14:paraId="610045FB">
      <w:pPr>
        <w:widowControl/>
        <w:ind w:firstLine="3120" w:firstLineChars="1300"/>
        <w:rPr>
          <w:rFonts w:hint="eastAsia" w:ascii="宋体" w:hAnsi="宋体" w:cs="宋体"/>
          <w:color w:val="auto"/>
          <w:sz w:val="24"/>
          <w:highlight w:val="none"/>
        </w:rPr>
      </w:pPr>
    </w:p>
    <w:p w14:paraId="6EAB5962">
      <w:pPr>
        <w:widowControl/>
        <w:rPr>
          <w:color w:val="auto"/>
          <w:highlight w:val="none"/>
        </w:rPr>
      </w:pPr>
    </w:p>
    <w:p w14:paraId="52D864A0">
      <w:pPr>
        <w:widowControl/>
        <w:jc w:val="left"/>
        <w:rPr>
          <w:color w:val="auto"/>
          <w:highlight w:val="none"/>
        </w:rPr>
      </w:pPr>
      <w:r>
        <w:rPr>
          <w:rFonts w:ascii="宋体" w:hAnsi="宋体" w:cs="宋体"/>
          <w:color w:val="auto"/>
          <w:kern w:val="0"/>
          <w:sz w:val="18"/>
          <w:szCs w:val="18"/>
          <w:highlight w:val="none"/>
        </w:rPr>
        <w:t xml:space="preserve">1 </w:t>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519DCE6E">
      <w:pPr>
        <w:widowControl/>
        <w:ind w:firstLine="540" w:firstLineChars="300"/>
        <w:jc w:val="left"/>
        <w:rPr>
          <w:rFonts w:hint="eastAsia" w:ascii="宋体" w:hAnsi="宋体" w:cs="宋体"/>
          <w:color w:val="auto"/>
          <w:kern w:val="0"/>
          <w:sz w:val="18"/>
          <w:szCs w:val="18"/>
          <w:highlight w:val="none"/>
        </w:rPr>
      </w:pPr>
    </w:p>
    <w:p w14:paraId="60560D73">
      <w:pPr>
        <w:pStyle w:val="12"/>
        <w:topLinePunct/>
        <w:autoSpaceDE w:val="0"/>
        <w:autoSpaceDN w:val="0"/>
        <w:spacing w:line="460" w:lineRule="exact"/>
        <w:jc w:val="center"/>
        <w:rPr>
          <w:rFonts w:ascii="Times New Roman" w:hAnsi="Times New Roman" w:cs="Times New Roman"/>
          <w:b/>
          <w:bCs/>
          <w:color w:val="auto"/>
          <w:sz w:val="28"/>
          <w:szCs w:val="28"/>
          <w:highlight w:val="none"/>
        </w:rPr>
      </w:pPr>
      <w:r>
        <w:rPr>
          <w:rFonts w:hint="eastAsia"/>
          <w:color w:val="auto"/>
          <w:sz w:val="24"/>
          <w:highlight w:val="none"/>
        </w:rPr>
        <w:br w:type="page"/>
      </w:r>
      <w:r>
        <w:rPr>
          <w:rFonts w:ascii="Times New Roman" w:hAnsi="Times New Roman" w:cs="Times New Roman"/>
          <w:b/>
          <w:bCs/>
          <w:color w:val="auto"/>
          <w:sz w:val="28"/>
          <w:szCs w:val="28"/>
          <w:highlight w:val="none"/>
        </w:rPr>
        <w:t>格式7  残疾人福利性单位声明函</w:t>
      </w:r>
    </w:p>
    <w:p w14:paraId="3635DB08">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4EC13A">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14:paraId="18619E26">
      <w:pPr>
        <w:spacing w:line="588" w:lineRule="exact"/>
        <w:ind w:firstLine="444" w:firstLineChars="200"/>
        <w:rPr>
          <w:rFonts w:ascii="Times New Roman" w:hAnsi="Times New Roman"/>
          <w:color w:val="auto"/>
          <w:spacing w:val="6"/>
          <w:szCs w:val="21"/>
          <w:highlight w:val="none"/>
        </w:rPr>
      </w:pPr>
    </w:p>
    <w:p w14:paraId="3026AC56">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14:paraId="479EB920">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14:paraId="2C7E0C2B">
      <w:pPr>
        <w:topLinePunct/>
        <w:autoSpaceDE w:val="0"/>
        <w:autoSpaceDN w:val="0"/>
        <w:spacing w:line="460" w:lineRule="exact"/>
        <w:jc w:val="center"/>
        <w:rPr>
          <w:rFonts w:ascii="Times New Roman" w:hAnsi="Times New Roman"/>
          <w:color w:val="auto"/>
          <w:spacing w:val="6"/>
          <w:szCs w:val="21"/>
          <w:highlight w:val="none"/>
        </w:rPr>
      </w:pPr>
    </w:p>
    <w:p w14:paraId="4CC5A836">
      <w:pPr>
        <w:rPr>
          <w:rFonts w:hint="eastAsia" w:hAnsi="宋体" w:cs="宋体"/>
          <w:b/>
          <w:bCs/>
          <w:color w:val="auto"/>
          <w:sz w:val="28"/>
          <w:szCs w:val="28"/>
          <w:highlight w:val="none"/>
        </w:rPr>
      </w:pPr>
    </w:p>
    <w:p w14:paraId="6A55749E">
      <w:pPr>
        <w:pStyle w:val="26"/>
        <w:tabs>
          <w:tab w:val="left" w:pos="420"/>
        </w:tabs>
        <w:snapToGrid w:val="0"/>
        <w:spacing w:line="460" w:lineRule="atLeast"/>
        <w:rPr>
          <w:rFonts w:ascii="Times New Roman" w:hAnsi="Times New Roman"/>
          <w:b/>
          <w:bCs/>
          <w:color w:val="auto"/>
          <w:sz w:val="28"/>
          <w:szCs w:val="28"/>
          <w:highlight w:val="none"/>
        </w:rPr>
      </w:pPr>
      <w:bookmarkStart w:id="36" w:name="_Toc386861148"/>
      <w:bookmarkStart w:id="37" w:name="_Toc38030154"/>
      <w:bookmarkStart w:id="38" w:name="_Toc38030071"/>
      <w:bookmarkStart w:id="39" w:name="_Toc1403531177"/>
      <w:bookmarkStart w:id="40" w:name="_Toc1652355655"/>
      <w:bookmarkStart w:id="41" w:name="_Toc113393336"/>
      <w:r>
        <w:rPr>
          <w:rFonts w:hint="eastAsia" w:cs="宋体"/>
          <w:color w:val="auto"/>
          <w:sz w:val="28"/>
          <w:szCs w:val="28"/>
          <w:highlight w:val="none"/>
        </w:rPr>
        <w:br w:type="page"/>
      </w:r>
      <w:bookmarkStart w:id="42" w:name="_Toc681730266"/>
      <w:bookmarkStart w:id="43" w:name="_Toc598152851"/>
      <w:bookmarkStart w:id="44" w:name="_Toc78504842"/>
      <w:bookmarkStart w:id="45" w:name="_Toc680706022"/>
      <w:bookmarkStart w:id="46" w:name="_Toc1615545750"/>
      <w:bookmarkStart w:id="47" w:name="_Toc220361175"/>
      <w:bookmarkStart w:id="48" w:name="_Toc1097421187"/>
      <w:bookmarkStart w:id="49" w:name="_Toc1749127877"/>
      <w:bookmarkStart w:id="50" w:name="_Toc1381122819"/>
      <w:r>
        <w:rPr>
          <w:rFonts w:ascii="Times New Roman" w:hAnsi="Times New Roman"/>
          <w:b/>
          <w:bCs/>
          <w:color w:val="auto"/>
          <w:sz w:val="28"/>
          <w:szCs w:val="28"/>
          <w:highlight w:val="none"/>
        </w:rPr>
        <w:t>格式8 成功案例一览表</w:t>
      </w:r>
      <w:bookmarkEnd w:id="42"/>
      <w:bookmarkEnd w:id="43"/>
      <w:bookmarkEnd w:id="44"/>
      <w:bookmarkEnd w:id="45"/>
      <w:bookmarkEnd w:id="46"/>
      <w:bookmarkEnd w:id="47"/>
      <w:bookmarkEnd w:id="48"/>
      <w:bookmarkEnd w:id="49"/>
      <w:bookmarkEnd w:id="50"/>
    </w:p>
    <w:p w14:paraId="4612FEBE">
      <w:pPr>
        <w:jc w:val="center"/>
        <w:rPr>
          <w:color w:val="auto"/>
          <w:highlight w:val="none"/>
        </w:rPr>
      </w:pPr>
      <w:r>
        <w:rPr>
          <w:rFonts w:hint="eastAsia"/>
          <w:color w:val="auto"/>
          <w:highlight w:val="none"/>
        </w:rPr>
        <w:t>（根据招标文件要求调整）</w:t>
      </w:r>
    </w:p>
    <w:tbl>
      <w:tblPr>
        <w:tblStyle w:val="1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14:paraId="3F43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51FAB4BA">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14:paraId="55164E1A">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14:paraId="467337E7">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14:paraId="3580B6DC">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14:paraId="3B9EFC7D">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14:paraId="5B29A27E">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14:paraId="697A2FB8">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14:paraId="0FF62AE2">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14:paraId="2AF32C6E">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14:paraId="59D6EB6C">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14:paraId="22485E81">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14:paraId="62213F02">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14:paraId="5F4B5652">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14:paraId="2D3051CA">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14:paraId="0BA00C90">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14:paraId="72B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7CC5FB62">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14:paraId="35800E47">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57F940DB">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2D38996F">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771A05CA">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3C65D948">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7A57B650">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1779CDA">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7259E186">
            <w:pPr>
              <w:topLinePunct/>
              <w:autoSpaceDE w:val="0"/>
              <w:autoSpaceDN w:val="0"/>
              <w:adjustRightInd w:val="0"/>
              <w:snapToGrid w:val="0"/>
              <w:jc w:val="center"/>
              <w:rPr>
                <w:rFonts w:ascii="Times New Roman" w:hAnsi="Times New Roman"/>
                <w:color w:val="auto"/>
                <w:szCs w:val="21"/>
                <w:highlight w:val="none"/>
              </w:rPr>
            </w:pPr>
          </w:p>
        </w:tc>
      </w:tr>
      <w:tr w14:paraId="1517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13BEBC73">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14:paraId="10A38532">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1F4AE0F">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6932E938">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F0B27DF">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3ECCE9F8">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091AA601">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8A7164E">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4A979D38">
            <w:pPr>
              <w:topLinePunct/>
              <w:autoSpaceDE w:val="0"/>
              <w:autoSpaceDN w:val="0"/>
              <w:adjustRightInd w:val="0"/>
              <w:snapToGrid w:val="0"/>
              <w:jc w:val="center"/>
              <w:rPr>
                <w:rFonts w:ascii="Times New Roman" w:hAnsi="Times New Roman"/>
                <w:color w:val="auto"/>
                <w:szCs w:val="21"/>
                <w:highlight w:val="none"/>
              </w:rPr>
            </w:pPr>
          </w:p>
        </w:tc>
      </w:tr>
      <w:tr w14:paraId="0E75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12B3EB96">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14:paraId="31BC71C5">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1156AB5">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00042517">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05FDA65">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5984392A">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63D00ED8">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B455DDE">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166FD863">
            <w:pPr>
              <w:topLinePunct/>
              <w:autoSpaceDE w:val="0"/>
              <w:autoSpaceDN w:val="0"/>
              <w:adjustRightInd w:val="0"/>
              <w:snapToGrid w:val="0"/>
              <w:jc w:val="center"/>
              <w:rPr>
                <w:rFonts w:ascii="Times New Roman" w:hAnsi="Times New Roman"/>
                <w:color w:val="auto"/>
                <w:szCs w:val="21"/>
                <w:highlight w:val="none"/>
              </w:rPr>
            </w:pPr>
          </w:p>
        </w:tc>
      </w:tr>
      <w:tr w14:paraId="3ED6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4C63A30D">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14:paraId="2A38F72C">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3E31F238">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4E9A6EDD">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12C18C6">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1EC39D61">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69F66C55">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5AF8BA7">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6BC61D01">
            <w:pPr>
              <w:topLinePunct/>
              <w:autoSpaceDE w:val="0"/>
              <w:autoSpaceDN w:val="0"/>
              <w:adjustRightInd w:val="0"/>
              <w:snapToGrid w:val="0"/>
              <w:jc w:val="center"/>
              <w:rPr>
                <w:rFonts w:ascii="Times New Roman" w:hAnsi="Times New Roman"/>
                <w:color w:val="auto"/>
                <w:szCs w:val="21"/>
                <w:highlight w:val="none"/>
              </w:rPr>
            </w:pPr>
          </w:p>
        </w:tc>
      </w:tr>
      <w:tr w14:paraId="0132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0D36B1B9">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14:paraId="7C285CB3">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582E28E1">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6A054743">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F7A7C49">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2BB83BB2">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25DA68B0">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E89533B">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7F65F8C8">
            <w:pPr>
              <w:topLinePunct/>
              <w:autoSpaceDE w:val="0"/>
              <w:autoSpaceDN w:val="0"/>
              <w:adjustRightInd w:val="0"/>
              <w:snapToGrid w:val="0"/>
              <w:jc w:val="center"/>
              <w:rPr>
                <w:rFonts w:ascii="Times New Roman" w:hAnsi="Times New Roman"/>
                <w:color w:val="auto"/>
                <w:szCs w:val="21"/>
                <w:highlight w:val="none"/>
              </w:rPr>
            </w:pPr>
          </w:p>
        </w:tc>
      </w:tr>
      <w:tr w14:paraId="6099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14D6C199">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14:paraId="766C02A6">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3EB96F92">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0DDB4162">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613B330">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7C771598">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62BCBEBD">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C277073">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57508717">
            <w:pPr>
              <w:topLinePunct/>
              <w:autoSpaceDE w:val="0"/>
              <w:autoSpaceDN w:val="0"/>
              <w:adjustRightInd w:val="0"/>
              <w:snapToGrid w:val="0"/>
              <w:jc w:val="center"/>
              <w:rPr>
                <w:rFonts w:ascii="Times New Roman" w:hAnsi="Times New Roman"/>
                <w:color w:val="auto"/>
                <w:szCs w:val="21"/>
                <w:highlight w:val="none"/>
              </w:rPr>
            </w:pPr>
          </w:p>
        </w:tc>
      </w:tr>
    </w:tbl>
    <w:p w14:paraId="1D7CE364">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14:paraId="4D8DABF0">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1.提供20XX年1月1日以来（以合同签订日期为准），投标人独立承担的XXXX的项目案例。</w:t>
      </w:r>
    </w:p>
    <w:bookmarkEnd w:id="36"/>
    <w:bookmarkEnd w:id="37"/>
    <w:bookmarkEnd w:id="38"/>
    <w:bookmarkEnd w:id="39"/>
    <w:bookmarkEnd w:id="40"/>
    <w:bookmarkEnd w:id="41"/>
    <w:p w14:paraId="48EC655D">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2.应提供合同复印件（线上采购项目提供扫描件，下同）。合同复印件应能清晰体现合同甲乙双方、合同时间、合同金额、合同主要内容等，并提供对方联系人及联系方式，否则不能获得相应分值。</w:t>
      </w:r>
    </w:p>
    <w:p w14:paraId="205EB26D">
      <w:pPr>
        <w:pStyle w:val="12"/>
        <w:topLinePunct/>
        <w:autoSpaceDE w:val="0"/>
        <w:autoSpaceDN w:val="0"/>
        <w:spacing w:line="460" w:lineRule="exact"/>
        <w:jc w:val="center"/>
        <w:rPr>
          <w:rFonts w:hint="eastAsia" w:hAnsi="宋体" w:cs="宋体"/>
          <w:b/>
          <w:bCs/>
          <w:color w:val="auto"/>
          <w:sz w:val="36"/>
          <w:szCs w:val="36"/>
          <w:highlight w:val="none"/>
        </w:rPr>
      </w:pPr>
    </w:p>
    <w:p w14:paraId="5EFC5F04">
      <w:pPr>
        <w:rPr>
          <w:rFonts w:hint="eastAsia" w:hAnsi="宋体" w:cs="宋体"/>
          <w:b/>
          <w:bCs/>
          <w:color w:val="auto"/>
          <w:sz w:val="36"/>
          <w:szCs w:val="36"/>
          <w:highlight w:val="none"/>
        </w:rPr>
      </w:pPr>
      <w:r>
        <w:rPr>
          <w:rFonts w:hint="eastAsia" w:hAnsi="宋体" w:cs="宋体"/>
          <w:b/>
          <w:bCs/>
          <w:color w:val="auto"/>
          <w:sz w:val="36"/>
          <w:szCs w:val="36"/>
          <w:highlight w:val="none"/>
        </w:rPr>
        <w:br w:type="page"/>
      </w:r>
    </w:p>
    <w:p w14:paraId="27D7F0F7">
      <w:pPr>
        <w:spacing w:line="600" w:lineRule="auto"/>
        <w:jc w:val="center"/>
        <w:rPr>
          <w:rFonts w:hint="eastAsia" w:ascii="宋体" w:hAnsi="宋体"/>
          <w:b/>
          <w:color w:val="auto"/>
          <w:kern w:val="0"/>
          <w:sz w:val="44"/>
          <w:szCs w:val="44"/>
          <w:highlight w:val="none"/>
        </w:rPr>
      </w:pPr>
    </w:p>
    <w:p w14:paraId="6D8004C6">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14:paraId="0F5DAE7E">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技术部分</w:t>
      </w:r>
    </w:p>
    <w:p w14:paraId="423C4A67">
      <w:pPr>
        <w:spacing w:line="360" w:lineRule="auto"/>
        <w:jc w:val="center"/>
        <w:rPr>
          <w:rFonts w:hint="eastAsia" w:ascii="宋体" w:hAnsi="宋体"/>
          <w:color w:val="auto"/>
          <w:kern w:val="0"/>
          <w:sz w:val="32"/>
          <w:szCs w:val="32"/>
          <w:highlight w:val="none"/>
        </w:rPr>
      </w:pPr>
    </w:p>
    <w:p w14:paraId="143CCDBA">
      <w:pPr>
        <w:spacing w:line="360" w:lineRule="auto"/>
        <w:jc w:val="center"/>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（填写正本或副本）</w:t>
      </w:r>
    </w:p>
    <w:p w14:paraId="74028FA4">
      <w:pPr>
        <w:spacing w:line="360" w:lineRule="auto"/>
        <w:ind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14:paraId="744AECAC">
      <w:pPr>
        <w:pStyle w:val="11"/>
        <w:rPr>
          <w:rFonts w:hint="eastAsia" w:ascii="方正小标宋简体" w:hAnsi="方正小标宋简体" w:eastAsia="方正小标宋简体" w:cs="方正小标宋简体"/>
          <w:b w:val="0"/>
          <w:bCs/>
          <w:color w:val="auto"/>
          <w:kern w:val="0"/>
          <w:sz w:val="24"/>
          <w:highlight w:val="none"/>
        </w:rPr>
      </w:pPr>
    </w:p>
    <w:p w14:paraId="63EE8F4E">
      <w:pPr>
        <w:rPr>
          <w:color w:val="auto"/>
          <w:highlight w:val="none"/>
        </w:rPr>
      </w:pPr>
    </w:p>
    <w:p w14:paraId="361BC922">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项目名称：</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3C930EA4">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项目编号：</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08D66B01">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所投采购包：</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2A3F37CC">
      <w:pPr>
        <w:spacing w:line="360" w:lineRule="auto"/>
        <w:ind w:left="1470" w:leftChars="700"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14:paraId="58B0C301">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投标人：</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5C0972B1">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日  期：</w:t>
      </w:r>
      <w:r>
        <w:rPr>
          <w:rFonts w:hint="eastAsia" w:ascii="方正小标宋简体" w:hAnsi="方正小标宋简体" w:eastAsia="方正小标宋简体" w:cs="方正小标宋简体"/>
          <w:bCs/>
          <w:color w:val="auto"/>
          <w:kern w:val="0"/>
          <w:sz w:val="24"/>
          <w:szCs w:val="24"/>
          <w:highlight w:val="none"/>
          <w:u w:val="single"/>
        </w:rPr>
        <w:t xml:space="preserve">                 </w:t>
      </w:r>
    </w:p>
    <w:p w14:paraId="70987EC6">
      <w:pPr>
        <w:widowControl/>
        <w:jc w:val="center"/>
        <w:rPr>
          <w:rFonts w:hint="eastAsia" w:ascii="宋体" w:hAnsi="宋体" w:cs="宋体"/>
          <w:b/>
          <w:bCs/>
          <w:color w:val="auto"/>
          <w:sz w:val="28"/>
          <w:szCs w:val="28"/>
          <w:highlight w:val="none"/>
        </w:rPr>
      </w:pPr>
      <w:r>
        <w:rPr>
          <w:rFonts w:ascii="宋体" w:hAnsi="宋体" w:cs="宋体"/>
          <w:b/>
          <w:bCs/>
          <w:color w:val="auto"/>
          <w:sz w:val="36"/>
          <w:szCs w:val="36"/>
          <w:highlight w:val="none"/>
        </w:rPr>
        <w:br w:type="page"/>
      </w:r>
      <w:r>
        <w:rPr>
          <w:rFonts w:ascii="Times New Roman" w:hAnsi="Times New Roman"/>
          <w:b/>
          <w:bCs/>
          <w:color w:val="auto"/>
          <w:sz w:val="28"/>
          <w:szCs w:val="28"/>
          <w:highlight w:val="none"/>
        </w:rPr>
        <w:t>格式9 技术</w:t>
      </w:r>
      <w:r>
        <w:rPr>
          <w:rFonts w:hint="eastAsia" w:ascii="宋体" w:hAnsi="宋体" w:cs="宋体"/>
          <w:b/>
          <w:bCs/>
          <w:color w:val="auto"/>
          <w:sz w:val="28"/>
          <w:szCs w:val="28"/>
          <w:highlight w:val="none"/>
        </w:rPr>
        <w:t>条款偏离表</w:t>
      </w:r>
    </w:p>
    <w:tbl>
      <w:tblPr>
        <w:tblStyle w:val="18"/>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14:paraId="26BE9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76A1089D">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14:paraId="16254212">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14:paraId="55A68398">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14:paraId="66580EFC">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14:paraId="523664E9">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14:paraId="37E23CEA">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14:paraId="694A8E0B">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14:paraId="6EDFDD37">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14:paraId="3986F5E7">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14:paraId="549E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7E2CE6CF">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14:paraId="39122229">
            <w:pPr>
              <w:adjustRightInd w:val="0"/>
              <w:snapToGrid w:val="0"/>
              <w:ind w:left="50" w:leftChars="24" w:right="55" w:rightChars="26"/>
              <w:jc w:val="center"/>
              <w:rPr>
                <w:rFonts w:ascii="Times New Roman" w:hAnsi="Times New Roman"/>
                <w:color w:val="auto"/>
                <w:szCs w:val="21"/>
                <w:highlight w:val="none"/>
              </w:rPr>
            </w:pPr>
          </w:p>
        </w:tc>
        <w:tc>
          <w:tcPr>
            <w:tcW w:w="2116" w:type="dxa"/>
            <w:noWrap/>
            <w:vAlign w:val="center"/>
          </w:tcPr>
          <w:p w14:paraId="4CE1C57D">
            <w:pPr>
              <w:adjustRightInd w:val="0"/>
              <w:snapToGrid w:val="0"/>
              <w:ind w:left="50" w:leftChars="24" w:right="55" w:rightChars="26"/>
              <w:jc w:val="center"/>
              <w:rPr>
                <w:rFonts w:ascii="Times New Roman" w:hAnsi="Times New Roman"/>
                <w:color w:val="auto"/>
                <w:szCs w:val="21"/>
                <w:highlight w:val="none"/>
              </w:rPr>
            </w:pPr>
          </w:p>
        </w:tc>
        <w:tc>
          <w:tcPr>
            <w:tcW w:w="1684" w:type="dxa"/>
            <w:noWrap/>
            <w:vAlign w:val="center"/>
          </w:tcPr>
          <w:p w14:paraId="5A63B75B">
            <w:pPr>
              <w:adjustRightInd w:val="0"/>
              <w:snapToGrid w:val="0"/>
              <w:jc w:val="center"/>
              <w:rPr>
                <w:rFonts w:ascii="Times New Roman" w:hAnsi="Times New Roman"/>
                <w:color w:val="auto"/>
                <w:szCs w:val="21"/>
                <w:highlight w:val="none"/>
              </w:rPr>
            </w:pPr>
          </w:p>
        </w:tc>
        <w:tc>
          <w:tcPr>
            <w:tcW w:w="2090" w:type="dxa"/>
            <w:noWrap/>
            <w:vAlign w:val="center"/>
          </w:tcPr>
          <w:p w14:paraId="67202F30">
            <w:pPr>
              <w:adjustRightInd w:val="0"/>
              <w:snapToGrid w:val="0"/>
              <w:jc w:val="center"/>
              <w:rPr>
                <w:rFonts w:ascii="Times New Roman" w:hAnsi="Times New Roman"/>
                <w:color w:val="auto"/>
                <w:szCs w:val="21"/>
                <w:highlight w:val="none"/>
              </w:rPr>
            </w:pPr>
          </w:p>
        </w:tc>
        <w:tc>
          <w:tcPr>
            <w:tcW w:w="639" w:type="dxa"/>
            <w:noWrap/>
            <w:vAlign w:val="center"/>
          </w:tcPr>
          <w:p w14:paraId="777D06B3">
            <w:pPr>
              <w:adjustRightInd w:val="0"/>
              <w:snapToGrid w:val="0"/>
              <w:jc w:val="center"/>
              <w:rPr>
                <w:rFonts w:ascii="Times New Roman" w:hAnsi="Times New Roman"/>
                <w:color w:val="auto"/>
                <w:szCs w:val="21"/>
                <w:highlight w:val="none"/>
              </w:rPr>
            </w:pPr>
          </w:p>
        </w:tc>
      </w:tr>
      <w:tr w14:paraId="52A3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69FF9BFD">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14:paraId="4FFEA604">
            <w:pPr>
              <w:adjustRightInd w:val="0"/>
              <w:snapToGrid w:val="0"/>
              <w:ind w:left="50" w:leftChars="24" w:right="55" w:rightChars="26"/>
              <w:jc w:val="center"/>
              <w:rPr>
                <w:rFonts w:ascii="Times New Roman" w:hAnsi="Times New Roman"/>
                <w:color w:val="auto"/>
                <w:szCs w:val="21"/>
                <w:highlight w:val="none"/>
              </w:rPr>
            </w:pPr>
          </w:p>
        </w:tc>
        <w:tc>
          <w:tcPr>
            <w:tcW w:w="2116" w:type="dxa"/>
            <w:noWrap/>
            <w:vAlign w:val="center"/>
          </w:tcPr>
          <w:p w14:paraId="4B4E0147">
            <w:pPr>
              <w:adjustRightInd w:val="0"/>
              <w:snapToGrid w:val="0"/>
              <w:ind w:left="50" w:leftChars="24" w:right="55" w:rightChars="26"/>
              <w:jc w:val="center"/>
              <w:rPr>
                <w:rFonts w:ascii="Times New Roman" w:hAnsi="Times New Roman"/>
                <w:color w:val="auto"/>
                <w:szCs w:val="21"/>
                <w:highlight w:val="none"/>
              </w:rPr>
            </w:pPr>
          </w:p>
        </w:tc>
        <w:tc>
          <w:tcPr>
            <w:tcW w:w="1684" w:type="dxa"/>
            <w:noWrap/>
            <w:vAlign w:val="center"/>
          </w:tcPr>
          <w:p w14:paraId="65A7D848">
            <w:pPr>
              <w:adjustRightInd w:val="0"/>
              <w:snapToGrid w:val="0"/>
              <w:jc w:val="center"/>
              <w:rPr>
                <w:rFonts w:ascii="Times New Roman" w:hAnsi="Times New Roman"/>
                <w:color w:val="auto"/>
                <w:szCs w:val="21"/>
                <w:highlight w:val="none"/>
              </w:rPr>
            </w:pPr>
          </w:p>
        </w:tc>
        <w:tc>
          <w:tcPr>
            <w:tcW w:w="2090" w:type="dxa"/>
            <w:noWrap/>
            <w:vAlign w:val="center"/>
          </w:tcPr>
          <w:p w14:paraId="79CA75FD">
            <w:pPr>
              <w:adjustRightInd w:val="0"/>
              <w:snapToGrid w:val="0"/>
              <w:jc w:val="center"/>
              <w:rPr>
                <w:rFonts w:ascii="Times New Roman" w:hAnsi="Times New Roman"/>
                <w:color w:val="auto"/>
                <w:szCs w:val="21"/>
                <w:highlight w:val="none"/>
              </w:rPr>
            </w:pPr>
          </w:p>
        </w:tc>
        <w:tc>
          <w:tcPr>
            <w:tcW w:w="639" w:type="dxa"/>
            <w:noWrap/>
            <w:vAlign w:val="center"/>
          </w:tcPr>
          <w:p w14:paraId="52F60A33">
            <w:pPr>
              <w:adjustRightInd w:val="0"/>
              <w:snapToGrid w:val="0"/>
              <w:jc w:val="center"/>
              <w:rPr>
                <w:rFonts w:ascii="Times New Roman" w:hAnsi="Times New Roman"/>
                <w:color w:val="auto"/>
                <w:szCs w:val="21"/>
                <w:highlight w:val="none"/>
              </w:rPr>
            </w:pPr>
          </w:p>
        </w:tc>
      </w:tr>
      <w:tr w14:paraId="0C52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CF47506">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14:paraId="4929385B">
            <w:pPr>
              <w:adjustRightInd w:val="0"/>
              <w:snapToGrid w:val="0"/>
              <w:ind w:left="50" w:leftChars="24" w:right="55" w:rightChars="26"/>
              <w:jc w:val="center"/>
              <w:rPr>
                <w:rFonts w:ascii="Times New Roman" w:hAnsi="Times New Roman"/>
                <w:color w:val="auto"/>
                <w:szCs w:val="21"/>
                <w:highlight w:val="none"/>
              </w:rPr>
            </w:pPr>
          </w:p>
        </w:tc>
        <w:tc>
          <w:tcPr>
            <w:tcW w:w="2116" w:type="dxa"/>
            <w:noWrap/>
            <w:vAlign w:val="center"/>
          </w:tcPr>
          <w:p w14:paraId="5DE2F7F6">
            <w:pPr>
              <w:adjustRightInd w:val="0"/>
              <w:snapToGrid w:val="0"/>
              <w:ind w:left="50" w:leftChars="24" w:right="55" w:rightChars="26"/>
              <w:jc w:val="center"/>
              <w:rPr>
                <w:rFonts w:ascii="Times New Roman" w:hAnsi="Times New Roman"/>
                <w:color w:val="auto"/>
                <w:szCs w:val="21"/>
                <w:highlight w:val="none"/>
              </w:rPr>
            </w:pPr>
          </w:p>
        </w:tc>
        <w:tc>
          <w:tcPr>
            <w:tcW w:w="1684" w:type="dxa"/>
            <w:noWrap/>
            <w:vAlign w:val="center"/>
          </w:tcPr>
          <w:p w14:paraId="4DDDAC1F">
            <w:pPr>
              <w:adjustRightInd w:val="0"/>
              <w:snapToGrid w:val="0"/>
              <w:jc w:val="center"/>
              <w:rPr>
                <w:rFonts w:ascii="Times New Roman" w:hAnsi="Times New Roman"/>
                <w:color w:val="auto"/>
                <w:szCs w:val="21"/>
                <w:highlight w:val="none"/>
              </w:rPr>
            </w:pPr>
          </w:p>
        </w:tc>
        <w:tc>
          <w:tcPr>
            <w:tcW w:w="2090" w:type="dxa"/>
            <w:noWrap/>
            <w:vAlign w:val="center"/>
          </w:tcPr>
          <w:p w14:paraId="53047C42">
            <w:pPr>
              <w:adjustRightInd w:val="0"/>
              <w:snapToGrid w:val="0"/>
              <w:jc w:val="center"/>
              <w:rPr>
                <w:rFonts w:ascii="Times New Roman" w:hAnsi="Times New Roman"/>
                <w:color w:val="auto"/>
                <w:szCs w:val="21"/>
                <w:highlight w:val="none"/>
              </w:rPr>
            </w:pPr>
          </w:p>
        </w:tc>
        <w:tc>
          <w:tcPr>
            <w:tcW w:w="639" w:type="dxa"/>
            <w:noWrap/>
            <w:vAlign w:val="center"/>
          </w:tcPr>
          <w:p w14:paraId="4CEC7E5E">
            <w:pPr>
              <w:adjustRightInd w:val="0"/>
              <w:snapToGrid w:val="0"/>
              <w:jc w:val="center"/>
              <w:rPr>
                <w:rFonts w:ascii="Times New Roman" w:hAnsi="Times New Roman"/>
                <w:color w:val="auto"/>
                <w:szCs w:val="21"/>
                <w:highlight w:val="none"/>
              </w:rPr>
            </w:pPr>
          </w:p>
        </w:tc>
      </w:tr>
      <w:tr w14:paraId="5E1F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570B127A">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14:paraId="13A67F0F">
            <w:pPr>
              <w:adjustRightInd w:val="0"/>
              <w:snapToGrid w:val="0"/>
              <w:ind w:left="50" w:leftChars="24" w:right="55" w:rightChars="26"/>
              <w:jc w:val="center"/>
              <w:rPr>
                <w:rFonts w:ascii="Times New Roman" w:hAnsi="Times New Roman"/>
                <w:color w:val="auto"/>
                <w:szCs w:val="21"/>
                <w:highlight w:val="none"/>
              </w:rPr>
            </w:pPr>
          </w:p>
        </w:tc>
        <w:tc>
          <w:tcPr>
            <w:tcW w:w="2116" w:type="dxa"/>
            <w:noWrap/>
            <w:vAlign w:val="center"/>
          </w:tcPr>
          <w:p w14:paraId="51360415">
            <w:pPr>
              <w:adjustRightInd w:val="0"/>
              <w:snapToGrid w:val="0"/>
              <w:ind w:left="50" w:leftChars="24" w:right="55" w:rightChars="26"/>
              <w:jc w:val="center"/>
              <w:rPr>
                <w:rFonts w:ascii="Times New Roman" w:hAnsi="Times New Roman"/>
                <w:color w:val="auto"/>
                <w:szCs w:val="21"/>
                <w:highlight w:val="none"/>
              </w:rPr>
            </w:pPr>
          </w:p>
        </w:tc>
        <w:tc>
          <w:tcPr>
            <w:tcW w:w="1684" w:type="dxa"/>
            <w:noWrap/>
            <w:vAlign w:val="center"/>
          </w:tcPr>
          <w:p w14:paraId="0FA43B6B">
            <w:pPr>
              <w:adjustRightInd w:val="0"/>
              <w:snapToGrid w:val="0"/>
              <w:jc w:val="center"/>
              <w:rPr>
                <w:rFonts w:ascii="Times New Roman" w:hAnsi="Times New Roman"/>
                <w:color w:val="auto"/>
                <w:szCs w:val="21"/>
                <w:highlight w:val="none"/>
              </w:rPr>
            </w:pPr>
          </w:p>
        </w:tc>
        <w:tc>
          <w:tcPr>
            <w:tcW w:w="2090" w:type="dxa"/>
            <w:noWrap/>
            <w:vAlign w:val="center"/>
          </w:tcPr>
          <w:p w14:paraId="5F828FDE">
            <w:pPr>
              <w:adjustRightInd w:val="0"/>
              <w:snapToGrid w:val="0"/>
              <w:jc w:val="center"/>
              <w:rPr>
                <w:rFonts w:ascii="Times New Roman" w:hAnsi="Times New Roman"/>
                <w:color w:val="auto"/>
                <w:szCs w:val="21"/>
                <w:highlight w:val="none"/>
              </w:rPr>
            </w:pPr>
          </w:p>
        </w:tc>
        <w:tc>
          <w:tcPr>
            <w:tcW w:w="639" w:type="dxa"/>
            <w:noWrap/>
            <w:vAlign w:val="center"/>
          </w:tcPr>
          <w:p w14:paraId="45A3B6CD">
            <w:pPr>
              <w:adjustRightInd w:val="0"/>
              <w:snapToGrid w:val="0"/>
              <w:jc w:val="center"/>
              <w:rPr>
                <w:rFonts w:ascii="Times New Roman" w:hAnsi="Times New Roman"/>
                <w:color w:val="auto"/>
                <w:szCs w:val="21"/>
                <w:highlight w:val="none"/>
              </w:rPr>
            </w:pPr>
          </w:p>
        </w:tc>
      </w:tr>
      <w:tr w14:paraId="2987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E78ACDA">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14:paraId="65CEE823">
            <w:pPr>
              <w:adjustRightInd w:val="0"/>
              <w:snapToGrid w:val="0"/>
              <w:jc w:val="center"/>
              <w:rPr>
                <w:rFonts w:ascii="Times New Roman" w:hAnsi="Times New Roman"/>
                <w:color w:val="auto"/>
                <w:szCs w:val="21"/>
                <w:highlight w:val="none"/>
              </w:rPr>
            </w:pPr>
          </w:p>
        </w:tc>
        <w:tc>
          <w:tcPr>
            <w:tcW w:w="2116" w:type="dxa"/>
            <w:noWrap/>
            <w:vAlign w:val="center"/>
          </w:tcPr>
          <w:p w14:paraId="6FAC8DEC">
            <w:pPr>
              <w:adjustRightInd w:val="0"/>
              <w:snapToGrid w:val="0"/>
              <w:jc w:val="center"/>
              <w:rPr>
                <w:rFonts w:ascii="Times New Roman" w:hAnsi="Times New Roman"/>
                <w:color w:val="auto"/>
                <w:szCs w:val="21"/>
                <w:highlight w:val="none"/>
              </w:rPr>
            </w:pPr>
          </w:p>
        </w:tc>
        <w:tc>
          <w:tcPr>
            <w:tcW w:w="1684" w:type="dxa"/>
            <w:noWrap/>
            <w:vAlign w:val="center"/>
          </w:tcPr>
          <w:p w14:paraId="72FB6C96">
            <w:pPr>
              <w:adjustRightInd w:val="0"/>
              <w:snapToGrid w:val="0"/>
              <w:jc w:val="center"/>
              <w:rPr>
                <w:rFonts w:ascii="Times New Roman" w:hAnsi="Times New Roman"/>
                <w:color w:val="auto"/>
                <w:szCs w:val="21"/>
                <w:highlight w:val="none"/>
              </w:rPr>
            </w:pPr>
          </w:p>
        </w:tc>
        <w:tc>
          <w:tcPr>
            <w:tcW w:w="2090" w:type="dxa"/>
            <w:noWrap/>
            <w:vAlign w:val="center"/>
          </w:tcPr>
          <w:p w14:paraId="3C82A742">
            <w:pPr>
              <w:adjustRightInd w:val="0"/>
              <w:snapToGrid w:val="0"/>
              <w:jc w:val="center"/>
              <w:rPr>
                <w:rFonts w:ascii="Times New Roman" w:hAnsi="Times New Roman"/>
                <w:color w:val="auto"/>
                <w:szCs w:val="21"/>
                <w:highlight w:val="none"/>
              </w:rPr>
            </w:pPr>
          </w:p>
        </w:tc>
        <w:tc>
          <w:tcPr>
            <w:tcW w:w="639" w:type="dxa"/>
            <w:noWrap/>
            <w:vAlign w:val="center"/>
          </w:tcPr>
          <w:p w14:paraId="546F756F">
            <w:pPr>
              <w:adjustRightInd w:val="0"/>
              <w:snapToGrid w:val="0"/>
              <w:jc w:val="center"/>
              <w:rPr>
                <w:rFonts w:ascii="Times New Roman" w:hAnsi="Times New Roman"/>
                <w:color w:val="auto"/>
                <w:szCs w:val="21"/>
                <w:highlight w:val="none"/>
              </w:rPr>
            </w:pPr>
          </w:p>
        </w:tc>
      </w:tr>
      <w:tr w14:paraId="34E7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181E2C01">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14:paraId="6984E622">
            <w:pPr>
              <w:adjustRightInd w:val="0"/>
              <w:snapToGrid w:val="0"/>
              <w:jc w:val="center"/>
              <w:rPr>
                <w:rFonts w:ascii="Times New Roman" w:hAnsi="Times New Roman"/>
                <w:color w:val="auto"/>
                <w:szCs w:val="21"/>
                <w:highlight w:val="none"/>
              </w:rPr>
            </w:pPr>
          </w:p>
        </w:tc>
        <w:tc>
          <w:tcPr>
            <w:tcW w:w="2116" w:type="dxa"/>
            <w:noWrap/>
            <w:vAlign w:val="center"/>
          </w:tcPr>
          <w:p w14:paraId="6E8A558D">
            <w:pPr>
              <w:adjustRightInd w:val="0"/>
              <w:snapToGrid w:val="0"/>
              <w:jc w:val="center"/>
              <w:rPr>
                <w:rFonts w:ascii="Times New Roman" w:hAnsi="Times New Roman"/>
                <w:color w:val="auto"/>
                <w:szCs w:val="21"/>
                <w:highlight w:val="none"/>
              </w:rPr>
            </w:pPr>
          </w:p>
        </w:tc>
        <w:tc>
          <w:tcPr>
            <w:tcW w:w="1684" w:type="dxa"/>
            <w:noWrap/>
            <w:vAlign w:val="center"/>
          </w:tcPr>
          <w:p w14:paraId="23BC5742">
            <w:pPr>
              <w:adjustRightInd w:val="0"/>
              <w:snapToGrid w:val="0"/>
              <w:jc w:val="center"/>
              <w:rPr>
                <w:rFonts w:ascii="Times New Roman" w:hAnsi="Times New Roman"/>
                <w:color w:val="auto"/>
                <w:szCs w:val="21"/>
                <w:highlight w:val="none"/>
              </w:rPr>
            </w:pPr>
          </w:p>
        </w:tc>
        <w:tc>
          <w:tcPr>
            <w:tcW w:w="2090" w:type="dxa"/>
            <w:noWrap/>
            <w:vAlign w:val="center"/>
          </w:tcPr>
          <w:p w14:paraId="725647A3">
            <w:pPr>
              <w:adjustRightInd w:val="0"/>
              <w:snapToGrid w:val="0"/>
              <w:jc w:val="center"/>
              <w:rPr>
                <w:rFonts w:ascii="Times New Roman" w:hAnsi="Times New Roman"/>
                <w:color w:val="auto"/>
                <w:szCs w:val="21"/>
                <w:highlight w:val="none"/>
              </w:rPr>
            </w:pPr>
          </w:p>
        </w:tc>
        <w:tc>
          <w:tcPr>
            <w:tcW w:w="639" w:type="dxa"/>
            <w:noWrap/>
            <w:vAlign w:val="center"/>
          </w:tcPr>
          <w:p w14:paraId="154337F5">
            <w:pPr>
              <w:adjustRightInd w:val="0"/>
              <w:snapToGrid w:val="0"/>
              <w:jc w:val="center"/>
              <w:rPr>
                <w:rFonts w:ascii="Times New Roman" w:hAnsi="Times New Roman"/>
                <w:color w:val="auto"/>
                <w:szCs w:val="21"/>
                <w:highlight w:val="none"/>
              </w:rPr>
            </w:pPr>
          </w:p>
        </w:tc>
      </w:tr>
    </w:tbl>
    <w:p w14:paraId="0C1533D3">
      <w:pPr>
        <w:topLinePunct/>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特别说明：</w:t>
      </w:r>
    </w:p>
    <w:p w14:paraId="7480276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1.按照《招标文件-技术部分》内容要求，一一对应填写。如果对《招标文件-技术部分》内容不做一一响应，而将“投标文件应答情况”简单笼统描述为“无偏离”，则视为无效应答。</w:t>
      </w:r>
    </w:p>
    <w:p w14:paraId="56E7C812">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2.《招标文件-技术部分》内容须条对条应答，不得遗漏；如有遗漏，则视为无效应答。如无偏离，请在此表中填写“无偏离”。如有偏离，请在此表中应答为“正/负偏离”并说明偏离情况；</w:t>
      </w:r>
    </w:p>
    <w:p w14:paraId="64F3165C">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3.如《招标文件-技术部分》中有标注★号的，则为实质性要求，必须满足，如应答为“负偏离”，将导致投标无效。</w:t>
      </w:r>
    </w:p>
    <w:p w14:paraId="1E9126DC">
      <w:pPr>
        <w:topLinePunct/>
        <w:autoSpaceDE w:val="0"/>
        <w:autoSpaceDN w:val="0"/>
        <w:spacing w:line="360" w:lineRule="auto"/>
        <w:ind w:firstLine="420" w:firstLineChars="200"/>
        <w:rPr>
          <w:rFonts w:ascii="Times New Roman" w:hAnsi="Times New Roman"/>
          <w:color w:val="auto"/>
          <w:szCs w:val="21"/>
          <w:highlight w:val="none"/>
        </w:rPr>
      </w:pPr>
    </w:p>
    <w:p w14:paraId="269C0DAD">
      <w:pPr>
        <w:pStyle w:val="27"/>
        <w:spacing w:after="156"/>
        <w:rPr>
          <w:color w:val="auto"/>
          <w:sz w:val="21"/>
          <w:szCs w:val="21"/>
          <w:highlight w:val="none"/>
        </w:rPr>
      </w:pPr>
    </w:p>
    <w:p w14:paraId="0648CB4A">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121C6CA5">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4FDBB07">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5875EF45">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b/>
          <w:bCs/>
          <w:color w:val="auto"/>
          <w:sz w:val="28"/>
          <w:szCs w:val="28"/>
          <w:highlight w:val="none"/>
        </w:rPr>
        <w:t>格式</w:t>
      </w:r>
      <w:r>
        <w:rPr>
          <w:rFonts w:ascii="Times New Roman" w:hAnsi="Times New Roman"/>
          <w:b/>
          <w:bCs/>
          <w:color w:val="auto"/>
          <w:sz w:val="28"/>
          <w:szCs w:val="28"/>
          <w:highlight w:val="none"/>
        </w:rPr>
        <w:t>10</w:t>
      </w:r>
      <w:r>
        <w:rPr>
          <w:rFonts w:hint="eastAsia" w:ascii="宋体" w:hAnsi="宋体"/>
          <w:b/>
          <w:bCs/>
          <w:color w:val="auto"/>
          <w:sz w:val="28"/>
          <w:szCs w:val="28"/>
          <w:highlight w:val="none"/>
        </w:rPr>
        <w:t>货</w:t>
      </w:r>
      <w:r>
        <w:rPr>
          <w:rFonts w:hint="eastAsia"/>
          <w:b/>
          <w:bCs/>
          <w:color w:val="auto"/>
          <w:sz w:val="28"/>
          <w:szCs w:val="28"/>
          <w:highlight w:val="none"/>
        </w:rPr>
        <w:t>物说明一览表、服务方案、实施方案及技术方案</w:t>
      </w:r>
    </w:p>
    <w:p w14:paraId="4201CD7D">
      <w:pPr>
        <w:ind w:firstLine="420" w:firstLineChars="200"/>
        <w:rPr>
          <w:color w:val="auto"/>
          <w:szCs w:val="21"/>
          <w:highlight w:val="none"/>
        </w:rPr>
      </w:pPr>
    </w:p>
    <w:p w14:paraId="4DCD2F8A">
      <w:pPr>
        <w:adjustRightInd w:val="0"/>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货物说明一览表</w:t>
      </w:r>
    </w:p>
    <w:p w14:paraId="177D2B93">
      <w:pPr>
        <w:topLinePunct/>
        <w:autoSpaceDE w:val="0"/>
        <w:autoSpaceDN w:val="0"/>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tbl>
      <w:tblPr>
        <w:tblStyle w:val="18"/>
        <w:tblpPr w:leftFromText="180" w:rightFromText="180" w:vertAnchor="text" w:horzAnchor="page" w:tblpX="1408" w:tblpY="3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90"/>
        <w:gridCol w:w="1511"/>
        <w:gridCol w:w="1290"/>
        <w:gridCol w:w="2827"/>
        <w:gridCol w:w="850"/>
      </w:tblGrid>
      <w:tr w14:paraId="4692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1528508F">
            <w:pPr>
              <w:spacing w:line="360" w:lineRule="auto"/>
              <w:jc w:val="center"/>
              <w:rPr>
                <w:color w:val="auto"/>
                <w:szCs w:val="21"/>
                <w:highlight w:val="none"/>
              </w:rPr>
            </w:pPr>
            <w:r>
              <w:rPr>
                <w:rFonts w:hint="eastAsia"/>
                <w:color w:val="auto"/>
                <w:szCs w:val="21"/>
                <w:highlight w:val="none"/>
              </w:rPr>
              <w:t>序号</w:t>
            </w:r>
          </w:p>
        </w:tc>
        <w:tc>
          <w:tcPr>
            <w:tcW w:w="748" w:type="pct"/>
            <w:vAlign w:val="center"/>
          </w:tcPr>
          <w:p w14:paraId="365A07B0">
            <w:pPr>
              <w:spacing w:line="360" w:lineRule="auto"/>
              <w:jc w:val="center"/>
              <w:rPr>
                <w:color w:val="auto"/>
                <w:szCs w:val="21"/>
                <w:highlight w:val="none"/>
              </w:rPr>
            </w:pPr>
            <w:r>
              <w:rPr>
                <w:rFonts w:hint="eastAsia"/>
                <w:color w:val="auto"/>
                <w:szCs w:val="21"/>
                <w:highlight w:val="none"/>
              </w:rPr>
              <w:t>货物名称</w:t>
            </w:r>
          </w:p>
        </w:tc>
        <w:tc>
          <w:tcPr>
            <w:tcW w:w="876" w:type="pct"/>
            <w:vAlign w:val="center"/>
          </w:tcPr>
          <w:p w14:paraId="77F570A3">
            <w:pPr>
              <w:spacing w:line="360" w:lineRule="auto"/>
              <w:jc w:val="center"/>
              <w:rPr>
                <w:color w:val="auto"/>
                <w:szCs w:val="21"/>
                <w:highlight w:val="none"/>
              </w:rPr>
            </w:pPr>
            <w:r>
              <w:rPr>
                <w:rFonts w:hint="eastAsia"/>
                <w:color w:val="auto"/>
                <w:szCs w:val="21"/>
                <w:highlight w:val="none"/>
              </w:rPr>
              <w:t>制造商名称</w:t>
            </w:r>
          </w:p>
        </w:tc>
        <w:tc>
          <w:tcPr>
            <w:tcW w:w="748" w:type="pct"/>
            <w:vAlign w:val="center"/>
          </w:tcPr>
          <w:p w14:paraId="7C2655A1">
            <w:pPr>
              <w:spacing w:line="360" w:lineRule="auto"/>
              <w:jc w:val="center"/>
              <w:rPr>
                <w:color w:val="auto"/>
                <w:szCs w:val="21"/>
                <w:highlight w:val="none"/>
              </w:rPr>
            </w:pPr>
            <w:r>
              <w:rPr>
                <w:rFonts w:hint="eastAsia"/>
                <w:color w:val="auto"/>
                <w:szCs w:val="21"/>
                <w:highlight w:val="none"/>
              </w:rPr>
              <w:t>型号规格</w:t>
            </w:r>
          </w:p>
        </w:tc>
        <w:tc>
          <w:tcPr>
            <w:tcW w:w="1639" w:type="pct"/>
            <w:vAlign w:val="center"/>
          </w:tcPr>
          <w:p w14:paraId="1E21B7D2">
            <w:pPr>
              <w:spacing w:line="360" w:lineRule="auto"/>
              <w:jc w:val="center"/>
              <w:rPr>
                <w:color w:val="auto"/>
                <w:szCs w:val="21"/>
                <w:highlight w:val="none"/>
              </w:rPr>
            </w:pPr>
            <w:r>
              <w:rPr>
                <w:rFonts w:hint="eastAsia"/>
                <w:color w:val="auto"/>
                <w:szCs w:val="21"/>
                <w:highlight w:val="none"/>
              </w:rPr>
              <w:t>主要技术参数和技术指标</w:t>
            </w:r>
          </w:p>
        </w:tc>
        <w:tc>
          <w:tcPr>
            <w:tcW w:w="493" w:type="pct"/>
            <w:vAlign w:val="center"/>
          </w:tcPr>
          <w:p w14:paraId="3B26AA58">
            <w:pPr>
              <w:spacing w:line="360" w:lineRule="auto"/>
              <w:jc w:val="center"/>
              <w:rPr>
                <w:color w:val="auto"/>
                <w:szCs w:val="21"/>
                <w:highlight w:val="none"/>
              </w:rPr>
            </w:pPr>
            <w:r>
              <w:rPr>
                <w:rFonts w:hint="eastAsia"/>
                <w:color w:val="auto"/>
                <w:szCs w:val="21"/>
                <w:highlight w:val="none"/>
              </w:rPr>
              <w:t>备注</w:t>
            </w:r>
          </w:p>
        </w:tc>
      </w:tr>
      <w:tr w14:paraId="0205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6D44472B">
            <w:pPr>
              <w:spacing w:line="360" w:lineRule="auto"/>
              <w:jc w:val="center"/>
              <w:rPr>
                <w:color w:val="auto"/>
                <w:szCs w:val="21"/>
                <w:highlight w:val="none"/>
              </w:rPr>
            </w:pPr>
          </w:p>
        </w:tc>
        <w:tc>
          <w:tcPr>
            <w:tcW w:w="748" w:type="pct"/>
            <w:vAlign w:val="center"/>
          </w:tcPr>
          <w:p w14:paraId="1849CEF7">
            <w:pPr>
              <w:spacing w:line="360" w:lineRule="auto"/>
              <w:jc w:val="center"/>
              <w:rPr>
                <w:color w:val="auto"/>
                <w:szCs w:val="21"/>
                <w:highlight w:val="none"/>
              </w:rPr>
            </w:pPr>
          </w:p>
        </w:tc>
        <w:tc>
          <w:tcPr>
            <w:tcW w:w="876" w:type="pct"/>
            <w:vAlign w:val="center"/>
          </w:tcPr>
          <w:p w14:paraId="0A5E613C">
            <w:pPr>
              <w:spacing w:line="360" w:lineRule="auto"/>
              <w:jc w:val="center"/>
              <w:rPr>
                <w:color w:val="auto"/>
                <w:szCs w:val="21"/>
                <w:highlight w:val="none"/>
              </w:rPr>
            </w:pPr>
          </w:p>
        </w:tc>
        <w:tc>
          <w:tcPr>
            <w:tcW w:w="748" w:type="pct"/>
            <w:vAlign w:val="center"/>
          </w:tcPr>
          <w:p w14:paraId="6BD1096F">
            <w:pPr>
              <w:spacing w:line="360" w:lineRule="auto"/>
              <w:jc w:val="center"/>
              <w:rPr>
                <w:color w:val="auto"/>
                <w:szCs w:val="21"/>
                <w:highlight w:val="none"/>
              </w:rPr>
            </w:pPr>
          </w:p>
        </w:tc>
        <w:tc>
          <w:tcPr>
            <w:tcW w:w="1639" w:type="pct"/>
            <w:vAlign w:val="center"/>
          </w:tcPr>
          <w:p w14:paraId="2281E0C8">
            <w:pPr>
              <w:spacing w:line="360" w:lineRule="auto"/>
              <w:jc w:val="center"/>
              <w:rPr>
                <w:color w:val="auto"/>
                <w:szCs w:val="21"/>
                <w:highlight w:val="none"/>
              </w:rPr>
            </w:pPr>
          </w:p>
        </w:tc>
        <w:tc>
          <w:tcPr>
            <w:tcW w:w="493" w:type="pct"/>
            <w:vAlign w:val="center"/>
          </w:tcPr>
          <w:p w14:paraId="599601E4">
            <w:pPr>
              <w:spacing w:line="360" w:lineRule="auto"/>
              <w:jc w:val="center"/>
              <w:rPr>
                <w:color w:val="auto"/>
                <w:szCs w:val="21"/>
                <w:highlight w:val="none"/>
              </w:rPr>
            </w:pPr>
          </w:p>
        </w:tc>
      </w:tr>
      <w:tr w14:paraId="1E27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471AA079">
            <w:pPr>
              <w:spacing w:line="360" w:lineRule="auto"/>
              <w:jc w:val="center"/>
              <w:rPr>
                <w:color w:val="auto"/>
                <w:szCs w:val="21"/>
                <w:highlight w:val="none"/>
              </w:rPr>
            </w:pPr>
          </w:p>
        </w:tc>
        <w:tc>
          <w:tcPr>
            <w:tcW w:w="748" w:type="pct"/>
            <w:vAlign w:val="center"/>
          </w:tcPr>
          <w:p w14:paraId="71A3A391">
            <w:pPr>
              <w:spacing w:line="360" w:lineRule="auto"/>
              <w:jc w:val="center"/>
              <w:rPr>
                <w:color w:val="auto"/>
                <w:szCs w:val="21"/>
                <w:highlight w:val="none"/>
              </w:rPr>
            </w:pPr>
          </w:p>
        </w:tc>
        <w:tc>
          <w:tcPr>
            <w:tcW w:w="876" w:type="pct"/>
            <w:vAlign w:val="center"/>
          </w:tcPr>
          <w:p w14:paraId="26513029">
            <w:pPr>
              <w:spacing w:line="360" w:lineRule="auto"/>
              <w:jc w:val="center"/>
              <w:rPr>
                <w:color w:val="auto"/>
                <w:szCs w:val="21"/>
                <w:highlight w:val="none"/>
              </w:rPr>
            </w:pPr>
          </w:p>
        </w:tc>
        <w:tc>
          <w:tcPr>
            <w:tcW w:w="748" w:type="pct"/>
            <w:vAlign w:val="center"/>
          </w:tcPr>
          <w:p w14:paraId="6D0C327C">
            <w:pPr>
              <w:spacing w:line="360" w:lineRule="auto"/>
              <w:jc w:val="center"/>
              <w:rPr>
                <w:color w:val="auto"/>
                <w:szCs w:val="21"/>
                <w:highlight w:val="none"/>
              </w:rPr>
            </w:pPr>
          </w:p>
        </w:tc>
        <w:tc>
          <w:tcPr>
            <w:tcW w:w="1639" w:type="pct"/>
            <w:vAlign w:val="center"/>
          </w:tcPr>
          <w:p w14:paraId="43A9ED28">
            <w:pPr>
              <w:spacing w:line="360" w:lineRule="auto"/>
              <w:jc w:val="center"/>
              <w:rPr>
                <w:color w:val="auto"/>
                <w:szCs w:val="21"/>
                <w:highlight w:val="none"/>
              </w:rPr>
            </w:pPr>
          </w:p>
        </w:tc>
        <w:tc>
          <w:tcPr>
            <w:tcW w:w="493" w:type="pct"/>
            <w:vAlign w:val="center"/>
          </w:tcPr>
          <w:p w14:paraId="4F861C12">
            <w:pPr>
              <w:spacing w:line="360" w:lineRule="auto"/>
              <w:jc w:val="center"/>
              <w:rPr>
                <w:color w:val="auto"/>
                <w:szCs w:val="21"/>
                <w:highlight w:val="none"/>
              </w:rPr>
            </w:pPr>
          </w:p>
        </w:tc>
      </w:tr>
      <w:tr w14:paraId="4F07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3484BEDC">
            <w:pPr>
              <w:spacing w:line="360" w:lineRule="auto"/>
              <w:jc w:val="center"/>
              <w:rPr>
                <w:color w:val="auto"/>
                <w:szCs w:val="21"/>
                <w:highlight w:val="none"/>
              </w:rPr>
            </w:pPr>
          </w:p>
        </w:tc>
        <w:tc>
          <w:tcPr>
            <w:tcW w:w="748" w:type="pct"/>
            <w:vAlign w:val="center"/>
          </w:tcPr>
          <w:p w14:paraId="2B7EB826">
            <w:pPr>
              <w:spacing w:line="360" w:lineRule="auto"/>
              <w:jc w:val="center"/>
              <w:rPr>
                <w:color w:val="auto"/>
                <w:szCs w:val="21"/>
                <w:highlight w:val="none"/>
              </w:rPr>
            </w:pPr>
          </w:p>
        </w:tc>
        <w:tc>
          <w:tcPr>
            <w:tcW w:w="876" w:type="pct"/>
            <w:vAlign w:val="center"/>
          </w:tcPr>
          <w:p w14:paraId="70D52F17">
            <w:pPr>
              <w:spacing w:line="360" w:lineRule="auto"/>
              <w:jc w:val="center"/>
              <w:rPr>
                <w:color w:val="auto"/>
                <w:szCs w:val="21"/>
                <w:highlight w:val="none"/>
              </w:rPr>
            </w:pPr>
          </w:p>
        </w:tc>
        <w:tc>
          <w:tcPr>
            <w:tcW w:w="748" w:type="pct"/>
            <w:vAlign w:val="center"/>
          </w:tcPr>
          <w:p w14:paraId="7C598279">
            <w:pPr>
              <w:spacing w:line="360" w:lineRule="auto"/>
              <w:jc w:val="center"/>
              <w:rPr>
                <w:color w:val="auto"/>
                <w:szCs w:val="21"/>
                <w:highlight w:val="none"/>
              </w:rPr>
            </w:pPr>
          </w:p>
        </w:tc>
        <w:tc>
          <w:tcPr>
            <w:tcW w:w="1639" w:type="pct"/>
            <w:vAlign w:val="center"/>
          </w:tcPr>
          <w:p w14:paraId="1E6A83DB">
            <w:pPr>
              <w:spacing w:line="360" w:lineRule="auto"/>
              <w:jc w:val="center"/>
              <w:rPr>
                <w:color w:val="auto"/>
                <w:szCs w:val="21"/>
                <w:highlight w:val="none"/>
              </w:rPr>
            </w:pPr>
          </w:p>
        </w:tc>
        <w:tc>
          <w:tcPr>
            <w:tcW w:w="493" w:type="pct"/>
            <w:vAlign w:val="center"/>
          </w:tcPr>
          <w:p w14:paraId="2EF94FF4">
            <w:pPr>
              <w:spacing w:line="360" w:lineRule="auto"/>
              <w:jc w:val="center"/>
              <w:rPr>
                <w:color w:val="auto"/>
                <w:szCs w:val="21"/>
                <w:highlight w:val="none"/>
              </w:rPr>
            </w:pPr>
          </w:p>
        </w:tc>
      </w:tr>
      <w:tr w14:paraId="54C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0593E66D">
            <w:pPr>
              <w:spacing w:line="360" w:lineRule="auto"/>
              <w:jc w:val="center"/>
              <w:rPr>
                <w:color w:val="auto"/>
                <w:szCs w:val="21"/>
                <w:highlight w:val="none"/>
              </w:rPr>
            </w:pPr>
          </w:p>
        </w:tc>
        <w:tc>
          <w:tcPr>
            <w:tcW w:w="748" w:type="pct"/>
            <w:vAlign w:val="center"/>
          </w:tcPr>
          <w:p w14:paraId="6D3D1B6C">
            <w:pPr>
              <w:spacing w:line="360" w:lineRule="auto"/>
              <w:jc w:val="center"/>
              <w:rPr>
                <w:color w:val="auto"/>
                <w:szCs w:val="21"/>
                <w:highlight w:val="none"/>
              </w:rPr>
            </w:pPr>
          </w:p>
        </w:tc>
        <w:tc>
          <w:tcPr>
            <w:tcW w:w="876" w:type="pct"/>
            <w:vAlign w:val="center"/>
          </w:tcPr>
          <w:p w14:paraId="485B6857">
            <w:pPr>
              <w:spacing w:line="360" w:lineRule="auto"/>
              <w:jc w:val="center"/>
              <w:rPr>
                <w:color w:val="auto"/>
                <w:szCs w:val="21"/>
                <w:highlight w:val="none"/>
              </w:rPr>
            </w:pPr>
          </w:p>
        </w:tc>
        <w:tc>
          <w:tcPr>
            <w:tcW w:w="748" w:type="pct"/>
            <w:vAlign w:val="center"/>
          </w:tcPr>
          <w:p w14:paraId="098EF7C8">
            <w:pPr>
              <w:spacing w:line="360" w:lineRule="auto"/>
              <w:jc w:val="center"/>
              <w:rPr>
                <w:color w:val="auto"/>
                <w:szCs w:val="21"/>
                <w:highlight w:val="none"/>
              </w:rPr>
            </w:pPr>
          </w:p>
        </w:tc>
        <w:tc>
          <w:tcPr>
            <w:tcW w:w="1639" w:type="pct"/>
            <w:vAlign w:val="center"/>
          </w:tcPr>
          <w:p w14:paraId="72158E73">
            <w:pPr>
              <w:spacing w:line="360" w:lineRule="auto"/>
              <w:jc w:val="center"/>
              <w:rPr>
                <w:color w:val="auto"/>
                <w:szCs w:val="21"/>
                <w:highlight w:val="none"/>
              </w:rPr>
            </w:pPr>
          </w:p>
        </w:tc>
        <w:tc>
          <w:tcPr>
            <w:tcW w:w="493" w:type="pct"/>
            <w:vAlign w:val="center"/>
          </w:tcPr>
          <w:p w14:paraId="68D43711">
            <w:pPr>
              <w:spacing w:line="360" w:lineRule="auto"/>
              <w:jc w:val="center"/>
              <w:rPr>
                <w:color w:val="auto"/>
                <w:szCs w:val="21"/>
                <w:highlight w:val="none"/>
              </w:rPr>
            </w:pPr>
          </w:p>
        </w:tc>
      </w:tr>
    </w:tbl>
    <w:p w14:paraId="3C15165A">
      <w:pPr>
        <w:adjustRightInd w:val="0"/>
        <w:snapToGrid w:val="0"/>
        <w:spacing w:line="360" w:lineRule="auto"/>
        <w:ind w:right="840"/>
        <w:rPr>
          <w:rFonts w:hint="eastAsia" w:ascii="宋体" w:hAnsi="宋体" w:cs="宋体"/>
          <w:bCs/>
          <w:color w:val="auto"/>
          <w:w w:val="150"/>
          <w:szCs w:val="21"/>
          <w:highlight w:val="none"/>
        </w:rPr>
      </w:pPr>
      <w:r>
        <w:rPr>
          <w:rFonts w:hint="eastAsia" w:ascii="宋体" w:hAnsi="宋体" w:cs="宋体"/>
          <w:color w:val="auto"/>
          <w:szCs w:val="21"/>
          <w:highlight w:val="none"/>
        </w:rPr>
        <w:t>采购包号：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价格单位：人民币   元</w:t>
      </w:r>
    </w:p>
    <w:p w14:paraId="7C1E59D6">
      <w:pPr>
        <w:topLinePunct/>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备注：货物的主要技术参数和技术指标可另页描述。</w:t>
      </w:r>
    </w:p>
    <w:p w14:paraId="1E37682D">
      <w:pPr>
        <w:ind w:firstLine="420" w:firstLineChars="200"/>
        <w:rPr>
          <w:color w:val="auto"/>
          <w:szCs w:val="21"/>
          <w:highlight w:val="none"/>
        </w:rPr>
      </w:pPr>
    </w:p>
    <w:p w14:paraId="4FAF396B">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B56289C">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1802DBD">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78E87474">
      <w:pPr>
        <w:adjustRightInd w:val="0"/>
        <w:snapToGrid w:val="0"/>
        <w:spacing w:line="360" w:lineRule="auto"/>
        <w:jc w:val="center"/>
        <w:rPr>
          <w:rFonts w:eastAsia="黑体"/>
          <w:color w:val="auto"/>
          <w:sz w:val="28"/>
          <w:szCs w:val="28"/>
          <w:highlight w:val="none"/>
        </w:rPr>
      </w:pPr>
      <w:r>
        <w:rPr>
          <w:rFonts w:eastAsia="仿宋_GB2312"/>
          <w:color w:val="auto"/>
          <w:szCs w:val="21"/>
          <w:highlight w:val="none"/>
        </w:rPr>
        <w:br w:type="page"/>
      </w:r>
      <w:r>
        <w:rPr>
          <w:rFonts w:hint="eastAsia" w:ascii="宋体" w:hAnsi="宋体" w:cs="宋体"/>
          <w:b/>
          <w:bCs/>
          <w:color w:val="auto"/>
          <w:sz w:val="28"/>
          <w:szCs w:val="28"/>
          <w:highlight w:val="none"/>
        </w:rPr>
        <w:t>服务方案说明</w:t>
      </w:r>
    </w:p>
    <w:p w14:paraId="3E8ADC81">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服务类项目供应商应根据第六章规定编写服务方案说明。服务方案说明包括但不限于：</w:t>
      </w:r>
    </w:p>
    <w:p w14:paraId="070B502A">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(1)服务目标、范围和任务；</w:t>
      </w:r>
    </w:p>
    <w:p w14:paraId="3C6DFA71">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(2)服务方案；</w:t>
      </w:r>
    </w:p>
    <w:p w14:paraId="0B742FA7">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(3)服务团队组织安排计划；</w:t>
      </w:r>
    </w:p>
    <w:p w14:paraId="77E57A52">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(4)工作流程；</w:t>
      </w:r>
    </w:p>
    <w:p w14:paraId="283850F0">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(5)进度计划及保证措施；</w:t>
      </w:r>
    </w:p>
    <w:p w14:paraId="4BAAF784">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(6)质量保证措施；</w:t>
      </w:r>
    </w:p>
    <w:p w14:paraId="04CCF3E5">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(7)合理化建议；</w:t>
      </w:r>
    </w:p>
    <w:p w14:paraId="44D86EFB">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(8)其他。</w:t>
      </w:r>
    </w:p>
    <w:p w14:paraId="105D461B">
      <w:pPr>
        <w:ind w:firstLine="420" w:firstLineChars="200"/>
        <w:rPr>
          <w:rFonts w:eastAsia="仿宋_GB2312"/>
          <w:color w:val="auto"/>
          <w:szCs w:val="21"/>
          <w:highlight w:val="none"/>
        </w:rPr>
      </w:pPr>
    </w:p>
    <w:p w14:paraId="06D1368A">
      <w:pPr>
        <w:adjustRightInd w:val="0"/>
        <w:snapToGrid w:val="0"/>
        <w:spacing w:line="360" w:lineRule="auto"/>
        <w:ind w:firstLine="723"/>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实施方案</w:t>
      </w:r>
    </w:p>
    <w:p w14:paraId="7A498B6E">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(示例略)</w:t>
      </w:r>
    </w:p>
    <w:p w14:paraId="4F7409D0">
      <w:pPr>
        <w:ind w:firstLine="420" w:firstLineChars="200"/>
        <w:rPr>
          <w:rFonts w:eastAsia="仿宋_GB2312"/>
          <w:color w:val="auto"/>
          <w:szCs w:val="21"/>
          <w:highlight w:val="none"/>
        </w:rPr>
      </w:pPr>
    </w:p>
    <w:p w14:paraId="78E2F0CF">
      <w:pPr>
        <w:adjustRightInd w:val="0"/>
        <w:snapToGrid w:val="0"/>
        <w:spacing w:line="360" w:lineRule="auto"/>
        <w:ind w:firstLine="723"/>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技术方案</w:t>
      </w:r>
    </w:p>
    <w:p w14:paraId="2C462777">
      <w:p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示例略</w:t>
      </w:r>
      <w:r>
        <w:rPr>
          <w:rFonts w:ascii="宋体" w:hAnsi="宋体"/>
          <w:color w:val="auto"/>
          <w:kern w:val="0"/>
          <w:szCs w:val="21"/>
          <w:highlight w:val="none"/>
        </w:rPr>
        <w:t>)</w:t>
      </w:r>
    </w:p>
    <w:p w14:paraId="4EE1853C">
      <w:pPr>
        <w:spacing w:line="360" w:lineRule="auto"/>
        <w:jc w:val="center"/>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51" w:name="_Toc231801039"/>
      <w:r>
        <w:rPr>
          <w:rFonts w:ascii="Times New Roman" w:hAnsi="Times New Roman" w:eastAsia="方正小标宋简体"/>
          <w:b/>
          <w:bCs/>
          <w:color w:val="auto"/>
          <w:sz w:val="28"/>
          <w:szCs w:val="28"/>
          <w:highlight w:val="none"/>
        </w:rPr>
        <w:t>11</w:t>
      </w:r>
      <w:r>
        <w:rPr>
          <w:rFonts w:hint="eastAsia" w:ascii="宋体" w:hAnsi="宋体" w:cs="宋体"/>
          <w:b/>
          <w:bCs/>
          <w:color w:val="auto"/>
          <w:sz w:val="28"/>
          <w:szCs w:val="28"/>
          <w:highlight w:val="none"/>
        </w:rPr>
        <w:t xml:space="preserve"> 技术力量一览表</w:t>
      </w:r>
    </w:p>
    <w:tbl>
      <w:tblPr>
        <w:tblStyle w:val="1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14:paraId="3CB4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508E06FB">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14:paraId="5404F34B">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14:paraId="2F26ABAD">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14:paraId="781C15B9">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14:paraId="68E36878">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14:paraId="7499B444">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14:paraId="7EBD6100">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认证情况</w:t>
            </w:r>
          </w:p>
        </w:tc>
      </w:tr>
      <w:tr w14:paraId="5874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5B3A253A">
            <w:pPr>
              <w:adjustRightInd w:val="0"/>
              <w:jc w:val="left"/>
              <w:rPr>
                <w:rFonts w:ascii="Times New Roman" w:hAnsi="Times New Roman"/>
                <w:color w:val="auto"/>
                <w:szCs w:val="21"/>
                <w:highlight w:val="none"/>
              </w:rPr>
            </w:pPr>
            <w:r>
              <w:rPr>
                <w:rFonts w:ascii="Times New Roman" w:hAnsi="Times New Roman"/>
                <w:color w:val="auto"/>
                <w:szCs w:val="21"/>
                <w:highlight w:val="none"/>
              </w:rPr>
              <w:t>项目管理人员</w:t>
            </w:r>
          </w:p>
          <w:p w14:paraId="7D74C1F7">
            <w:pPr>
              <w:adjustRightInd w:val="0"/>
              <w:jc w:val="left"/>
              <w:rPr>
                <w:rFonts w:ascii="Times New Roman" w:hAnsi="Times New Roman"/>
                <w:color w:val="auto"/>
                <w:szCs w:val="21"/>
                <w:highlight w:val="none"/>
              </w:rPr>
            </w:pPr>
            <w:r>
              <w:rPr>
                <w:rFonts w:ascii="Times New Roman" w:hAnsi="Times New Roman"/>
                <w:color w:val="auto"/>
                <w:szCs w:val="21"/>
                <w:highlight w:val="none"/>
              </w:rPr>
              <w:t>（一）项目负责人</w:t>
            </w:r>
          </w:p>
        </w:tc>
      </w:tr>
      <w:tr w14:paraId="06DD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0BFAF0CD">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347676A4">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4727ADC">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E229D53">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7137784">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0024CF1">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207C95CE">
            <w:pPr>
              <w:adjustRightInd w:val="0"/>
              <w:jc w:val="center"/>
              <w:rPr>
                <w:rFonts w:ascii="Times New Roman" w:hAnsi="Times New Roman"/>
                <w:color w:val="auto"/>
                <w:szCs w:val="21"/>
                <w:highlight w:val="none"/>
              </w:rPr>
            </w:pPr>
          </w:p>
        </w:tc>
      </w:tr>
      <w:tr w14:paraId="72B6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4F2072C8">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404A2A0E">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770CF178">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E931D62">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C66ABC5">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78B40E0">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34B1BD3C">
            <w:pPr>
              <w:adjustRightInd w:val="0"/>
              <w:jc w:val="center"/>
              <w:rPr>
                <w:rFonts w:ascii="Times New Roman" w:hAnsi="Times New Roman"/>
                <w:color w:val="auto"/>
                <w:szCs w:val="21"/>
                <w:highlight w:val="none"/>
              </w:rPr>
            </w:pPr>
          </w:p>
        </w:tc>
      </w:tr>
      <w:tr w14:paraId="771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F384A70">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12D5A3BF">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21EFE23F">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2FEAD2A">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CFAF66C">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5E7B2934">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273C199F">
            <w:pPr>
              <w:adjustRightInd w:val="0"/>
              <w:jc w:val="center"/>
              <w:rPr>
                <w:rFonts w:ascii="Times New Roman" w:hAnsi="Times New Roman"/>
                <w:color w:val="auto"/>
                <w:szCs w:val="21"/>
                <w:highlight w:val="none"/>
              </w:rPr>
            </w:pPr>
          </w:p>
        </w:tc>
      </w:tr>
      <w:tr w14:paraId="431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397CBDBF">
            <w:pPr>
              <w:adjustRightInd w:val="0"/>
              <w:jc w:val="left"/>
              <w:rPr>
                <w:rFonts w:ascii="Times New Roman" w:hAnsi="Times New Roman"/>
                <w:color w:val="auto"/>
                <w:szCs w:val="21"/>
                <w:highlight w:val="none"/>
              </w:rPr>
            </w:pPr>
            <w:r>
              <w:rPr>
                <w:rFonts w:ascii="Times New Roman" w:hAnsi="Times New Roman"/>
                <w:color w:val="auto"/>
                <w:szCs w:val="21"/>
                <w:highlight w:val="none"/>
              </w:rPr>
              <w:t>（二）技术负责人</w:t>
            </w:r>
          </w:p>
        </w:tc>
      </w:tr>
      <w:tr w14:paraId="33CD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11503E0F">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0B8F894E">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78D8C161">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38FDD642">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AA28B0">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5B9DE845">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5EA76189">
            <w:pPr>
              <w:adjustRightInd w:val="0"/>
              <w:jc w:val="center"/>
              <w:rPr>
                <w:rFonts w:ascii="Times New Roman" w:hAnsi="Times New Roman"/>
                <w:color w:val="auto"/>
                <w:szCs w:val="21"/>
                <w:highlight w:val="none"/>
              </w:rPr>
            </w:pPr>
          </w:p>
        </w:tc>
      </w:tr>
      <w:tr w14:paraId="6AAE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02B079B8">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65E4D0EF">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76492ED6">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7AF2368">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B69FD36">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09EACA18">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112ACBE2">
            <w:pPr>
              <w:adjustRightInd w:val="0"/>
              <w:jc w:val="center"/>
              <w:rPr>
                <w:rFonts w:ascii="Times New Roman" w:hAnsi="Times New Roman"/>
                <w:color w:val="auto"/>
                <w:szCs w:val="21"/>
                <w:highlight w:val="none"/>
              </w:rPr>
            </w:pPr>
          </w:p>
        </w:tc>
      </w:tr>
      <w:tr w14:paraId="374F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2010AE44">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466391AE">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37AFCB5B">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E25961C">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3281105">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7C039FB9">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7633D8A0">
            <w:pPr>
              <w:adjustRightInd w:val="0"/>
              <w:jc w:val="center"/>
              <w:rPr>
                <w:rFonts w:ascii="Times New Roman" w:hAnsi="Times New Roman"/>
                <w:color w:val="auto"/>
                <w:szCs w:val="21"/>
                <w:highlight w:val="none"/>
              </w:rPr>
            </w:pPr>
          </w:p>
        </w:tc>
      </w:tr>
      <w:tr w14:paraId="591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66577BB7">
            <w:pPr>
              <w:adjustRightInd w:val="0"/>
              <w:jc w:val="left"/>
              <w:rPr>
                <w:rFonts w:ascii="Times New Roman" w:hAnsi="Times New Roman"/>
                <w:color w:val="auto"/>
                <w:szCs w:val="21"/>
                <w:highlight w:val="none"/>
              </w:rPr>
            </w:pPr>
            <w:r>
              <w:rPr>
                <w:rFonts w:ascii="Times New Roman" w:hAnsi="Times New Roman"/>
                <w:color w:val="auto"/>
                <w:szCs w:val="21"/>
                <w:highlight w:val="none"/>
              </w:rPr>
              <w:t>二、XX人员</w:t>
            </w:r>
          </w:p>
        </w:tc>
      </w:tr>
      <w:tr w14:paraId="7FE1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CB3AA66">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0C5F6E06">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05EFAC7E">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011FF3E">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C398418">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D43D1AE">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3A98AA9C">
            <w:pPr>
              <w:adjustRightInd w:val="0"/>
              <w:jc w:val="center"/>
              <w:rPr>
                <w:rFonts w:ascii="Times New Roman" w:hAnsi="Times New Roman"/>
                <w:color w:val="auto"/>
                <w:szCs w:val="21"/>
                <w:highlight w:val="none"/>
              </w:rPr>
            </w:pPr>
          </w:p>
        </w:tc>
      </w:tr>
      <w:tr w14:paraId="4116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43DFF891">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671AA799">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5A46B5D9">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72EE72A2">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3BD7E51">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004FF683">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3A5A56FB">
            <w:pPr>
              <w:adjustRightInd w:val="0"/>
              <w:jc w:val="center"/>
              <w:rPr>
                <w:rFonts w:ascii="Times New Roman" w:hAnsi="Times New Roman"/>
                <w:color w:val="auto"/>
                <w:szCs w:val="21"/>
                <w:highlight w:val="none"/>
              </w:rPr>
            </w:pPr>
          </w:p>
        </w:tc>
      </w:tr>
      <w:tr w14:paraId="4911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7E21781D">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71A27196">
            <w:pPr>
              <w:adjustRightInd w:val="0"/>
              <w:jc w:val="center"/>
              <w:rPr>
                <w:rFonts w:ascii="Times New Roman" w:hAnsi="Times New Roman"/>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66FB7239">
            <w:pPr>
              <w:adjustRightInd w:val="0"/>
              <w:jc w:val="center"/>
              <w:rPr>
                <w:rFonts w:ascii="Times New Roman" w:hAnsi="Times New Roman"/>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070918C4">
            <w:pPr>
              <w:adjustRightInd w:val="0"/>
              <w:jc w:val="center"/>
              <w:rPr>
                <w:rFonts w:ascii="Times New Roman" w:hAnsi="Times New Roman"/>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4B23627">
            <w:pPr>
              <w:adjustRightInd w:val="0"/>
              <w:jc w:val="center"/>
              <w:rPr>
                <w:rFonts w:ascii="Times New Roman" w:hAnsi="Times New Roman"/>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FC54CA1">
            <w:pPr>
              <w:adjustRightInd w:val="0"/>
              <w:jc w:val="center"/>
              <w:rPr>
                <w:rFonts w:ascii="Times New Roman" w:hAnsi="Times New Roman"/>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7F2CD21B">
            <w:pPr>
              <w:adjustRightInd w:val="0"/>
              <w:jc w:val="center"/>
              <w:rPr>
                <w:rFonts w:ascii="Times New Roman" w:hAnsi="Times New Roman"/>
                <w:color w:val="auto"/>
                <w:szCs w:val="21"/>
                <w:highlight w:val="none"/>
              </w:rPr>
            </w:pPr>
          </w:p>
        </w:tc>
      </w:tr>
      <w:tr w14:paraId="6BAC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06AA71BE">
            <w:pPr>
              <w:adjustRightInd w:val="0"/>
              <w:jc w:val="left"/>
              <w:rPr>
                <w:rFonts w:ascii="Times New Roman" w:hAnsi="Times New Roman"/>
                <w:color w:val="auto"/>
                <w:szCs w:val="21"/>
                <w:highlight w:val="none"/>
              </w:rPr>
            </w:pPr>
            <w:r>
              <w:rPr>
                <w:rFonts w:ascii="Times New Roman" w:hAnsi="Times New Roman"/>
                <w:color w:val="auto"/>
                <w:szCs w:val="21"/>
                <w:highlight w:val="none"/>
              </w:rPr>
              <w:t>三、XX人员</w:t>
            </w:r>
          </w:p>
        </w:tc>
      </w:tr>
      <w:tr w14:paraId="1E00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54DF2B9">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vAlign w:val="center"/>
          </w:tcPr>
          <w:p w14:paraId="20E76B53">
            <w:pPr>
              <w:adjustRightInd w:val="0"/>
              <w:jc w:val="center"/>
              <w:rPr>
                <w:rFonts w:ascii="Times New Roman" w:hAnsi="Times New Roman"/>
                <w:color w:val="auto"/>
                <w:szCs w:val="21"/>
                <w:highlight w:val="none"/>
              </w:rPr>
            </w:pPr>
          </w:p>
        </w:tc>
        <w:tc>
          <w:tcPr>
            <w:tcW w:w="1187" w:type="dxa"/>
            <w:vAlign w:val="center"/>
          </w:tcPr>
          <w:p w14:paraId="09D0157C">
            <w:pPr>
              <w:adjustRightInd w:val="0"/>
              <w:jc w:val="center"/>
              <w:rPr>
                <w:rFonts w:ascii="Times New Roman" w:hAnsi="Times New Roman"/>
                <w:color w:val="auto"/>
                <w:szCs w:val="21"/>
                <w:highlight w:val="none"/>
              </w:rPr>
            </w:pPr>
          </w:p>
        </w:tc>
        <w:tc>
          <w:tcPr>
            <w:tcW w:w="1189" w:type="dxa"/>
            <w:vAlign w:val="center"/>
          </w:tcPr>
          <w:p w14:paraId="271FEFBE">
            <w:pPr>
              <w:adjustRightInd w:val="0"/>
              <w:jc w:val="center"/>
              <w:rPr>
                <w:rFonts w:ascii="Times New Roman" w:hAnsi="Times New Roman"/>
                <w:color w:val="auto"/>
                <w:szCs w:val="21"/>
                <w:highlight w:val="none"/>
              </w:rPr>
            </w:pPr>
          </w:p>
        </w:tc>
        <w:tc>
          <w:tcPr>
            <w:tcW w:w="1275" w:type="dxa"/>
            <w:vAlign w:val="center"/>
          </w:tcPr>
          <w:p w14:paraId="1A6E2557">
            <w:pPr>
              <w:adjustRightInd w:val="0"/>
              <w:jc w:val="center"/>
              <w:rPr>
                <w:rFonts w:ascii="Times New Roman" w:hAnsi="Times New Roman"/>
                <w:color w:val="auto"/>
                <w:szCs w:val="21"/>
                <w:highlight w:val="none"/>
              </w:rPr>
            </w:pPr>
          </w:p>
        </w:tc>
        <w:tc>
          <w:tcPr>
            <w:tcW w:w="1243" w:type="dxa"/>
            <w:vAlign w:val="center"/>
          </w:tcPr>
          <w:p w14:paraId="684BDD70">
            <w:pPr>
              <w:adjustRightInd w:val="0"/>
              <w:jc w:val="center"/>
              <w:rPr>
                <w:rFonts w:ascii="Times New Roman" w:hAnsi="Times New Roman"/>
                <w:color w:val="auto"/>
                <w:szCs w:val="21"/>
                <w:highlight w:val="none"/>
              </w:rPr>
            </w:pPr>
          </w:p>
        </w:tc>
        <w:tc>
          <w:tcPr>
            <w:tcW w:w="1916" w:type="dxa"/>
            <w:vAlign w:val="center"/>
          </w:tcPr>
          <w:p w14:paraId="0DBDC594">
            <w:pPr>
              <w:adjustRightInd w:val="0"/>
              <w:jc w:val="center"/>
              <w:rPr>
                <w:rFonts w:ascii="Times New Roman" w:hAnsi="Times New Roman"/>
                <w:color w:val="auto"/>
                <w:szCs w:val="21"/>
                <w:highlight w:val="none"/>
              </w:rPr>
            </w:pPr>
          </w:p>
        </w:tc>
      </w:tr>
      <w:tr w14:paraId="0708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21F5743">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vAlign w:val="center"/>
          </w:tcPr>
          <w:p w14:paraId="68AD7706">
            <w:pPr>
              <w:adjustRightInd w:val="0"/>
              <w:jc w:val="center"/>
              <w:rPr>
                <w:rFonts w:ascii="Times New Roman" w:hAnsi="Times New Roman"/>
                <w:color w:val="auto"/>
                <w:szCs w:val="21"/>
                <w:highlight w:val="none"/>
              </w:rPr>
            </w:pPr>
          </w:p>
        </w:tc>
        <w:tc>
          <w:tcPr>
            <w:tcW w:w="1187" w:type="dxa"/>
            <w:vAlign w:val="center"/>
          </w:tcPr>
          <w:p w14:paraId="6E94DD31">
            <w:pPr>
              <w:adjustRightInd w:val="0"/>
              <w:jc w:val="center"/>
              <w:rPr>
                <w:rFonts w:ascii="Times New Roman" w:hAnsi="Times New Roman"/>
                <w:color w:val="auto"/>
                <w:szCs w:val="21"/>
                <w:highlight w:val="none"/>
              </w:rPr>
            </w:pPr>
          </w:p>
        </w:tc>
        <w:tc>
          <w:tcPr>
            <w:tcW w:w="1189" w:type="dxa"/>
            <w:vAlign w:val="center"/>
          </w:tcPr>
          <w:p w14:paraId="6D2D85E0">
            <w:pPr>
              <w:adjustRightInd w:val="0"/>
              <w:jc w:val="center"/>
              <w:rPr>
                <w:rFonts w:ascii="Times New Roman" w:hAnsi="Times New Roman"/>
                <w:color w:val="auto"/>
                <w:szCs w:val="21"/>
                <w:highlight w:val="none"/>
              </w:rPr>
            </w:pPr>
          </w:p>
        </w:tc>
        <w:tc>
          <w:tcPr>
            <w:tcW w:w="1275" w:type="dxa"/>
            <w:vAlign w:val="center"/>
          </w:tcPr>
          <w:p w14:paraId="6EA6F1D5">
            <w:pPr>
              <w:adjustRightInd w:val="0"/>
              <w:jc w:val="center"/>
              <w:rPr>
                <w:rFonts w:ascii="Times New Roman" w:hAnsi="Times New Roman"/>
                <w:color w:val="auto"/>
                <w:szCs w:val="21"/>
                <w:highlight w:val="none"/>
              </w:rPr>
            </w:pPr>
          </w:p>
        </w:tc>
        <w:tc>
          <w:tcPr>
            <w:tcW w:w="1243" w:type="dxa"/>
            <w:vAlign w:val="center"/>
          </w:tcPr>
          <w:p w14:paraId="413B465E">
            <w:pPr>
              <w:adjustRightInd w:val="0"/>
              <w:jc w:val="center"/>
              <w:rPr>
                <w:rFonts w:ascii="Times New Roman" w:hAnsi="Times New Roman"/>
                <w:color w:val="auto"/>
                <w:szCs w:val="21"/>
                <w:highlight w:val="none"/>
              </w:rPr>
            </w:pPr>
          </w:p>
        </w:tc>
        <w:tc>
          <w:tcPr>
            <w:tcW w:w="1916" w:type="dxa"/>
            <w:vAlign w:val="center"/>
          </w:tcPr>
          <w:p w14:paraId="723F7A8E">
            <w:pPr>
              <w:adjustRightInd w:val="0"/>
              <w:jc w:val="center"/>
              <w:rPr>
                <w:rFonts w:ascii="Times New Roman" w:hAnsi="Times New Roman"/>
                <w:color w:val="auto"/>
                <w:szCs w:val="21"/>
                <w:highlight w:val="none"/>
              </w:rPr>
            </w:pPr>
          </w:p>
        </w:tc>
      </w:tr>
      <w:tr w14:paraId="1221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EBA12E0">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vAlign w:val="center"/>
          </w:tcPr>
          <w:p w14:paraId="2716D4CF">
            <w:pPr>
              <w:adjustRightInd w:val="0"/>
              <w:jc w:val="center"/>
              <w:rPr>
                <w:rFonts w:ascii="Times New Roman" w:hAnsi="Times New Roman"/>
                <w:color w:val="auto"/>
                <w:szCs w:val="21"/>
                <w:highlight w:val="none"/>
              </w:rPr>
            </w:pPr>
          </w:p>
        </w:tc>
        <w:tc>
          <w:tcPr>
            <w:tcW w:w="1187" w:type="dxa"/>
            <w:vAlign w:val="center"/>
          </w:tcPr>
          <w:p w14:paraId="1FEDE921">
            <w:pPr>
              <w:adjustRightInd w:val="0"/>
              <w:jc w:val="center"/>
              <w:rPr>
                <w:rFonts w:ascii="Times New Roman" w:hAnsi="Times New Roman"/>
                <w:color w:val="auto"/>
                <w:szCs w:val="21"/>
                <w:highlight w:val="none"/>
              </w:rPr>
            </w:pPr>
          </w:p>
        </w:tc>
        <w:tc>
          <w:tcPr>
            <w:tcW w:w="1189" w:type="dxa"/>
            <w:vAlign w:val="center"/>
          </w:tcPr>
          <w:p w14:paraId="4D3D6BD3">
            <w:pPr>
              <w:adjustRightInd w:val="0"/>
              <w:jc w:val="center"/>
              <w:rPr>
                <w:rFonts w:ascii="Times New Roman" w:hAnsi="Times New Roman"/>
                <w:color w:val="auto"/>
                <w:szCs w:val="21"/>
                <w:highlight w:val="none"/>
              </w:rPr>
            </w:pPr>
          </w:p>
        </w:tc>
        <w:tc>
          <w:tcPr>
            <w:tcW w:w="1275" w:type="dxa"/>
            <w:vAlign w:val="center"/>
          </w:tcPr>
          <w:p w14:paraId="2C98A740">
            <w:pPr>
              <w:adjustRightInd w:val="0"/>
              <w:jc w:val="center"/>
              <w:rPr>
                <w:rFonts w:ascii="Times New Roman" w:hAnsi="Times New Roman"/>
                <w:color w:val="auto"/>
                <w:szCs w:val="21"/>
                <w:highlight w:val="none"/>
              </w:rPr>
            </w:pPr>
          </w:p>
        </w:tc>
        <w:tc>
          <w:tcPr>
            <w:tcW w:w="1243" w:type="dxa"/>
            <w:vAlign w:val="center"/>
          </w:tcPr>
          <w:p w14:paraId="01E3FBF0">
            <w:pPr>
              <w:adjustRightInd w:val="0"/>
              <w:jc w:val="center"/>
              <w:rPr>
                <w:rFonts w:ascii="Times New Roman" w:hAnsi="Times New Roman"/>
                <w:color w:val="auto"/>
                <w:szCs w:val="21"/>
                <w:highlight w:val="none"/>
              </w:rPr>
            </w:pPr>
          </w:p>
        </w:tc>
        <w:tc>
          <w:tcPr>
            <w:tcW w:w="1916" w:type="dxa"/>
            <w:vAlign w:val="center"/>
          </w:tcPr>
          <w:p w14:paraId="2C67EC23">
            <w:pPr>
              <w:adjustRightInd w:val="0"/>
              <w:jc w:val="center"/>
              <w:rPr>
                <w:rFonts w:ascii="Times New Roman" w:hAnsi="Times New Roman"/>
                <w:color w:val="auto"/>
                <w:szCs w:val="21"/>
                <w:highlight w:val="none"/>
              </w:rPr>
            </w:pPr>
          </w:p>
        </w:tc>
      </w:tr>
      <w:bookmarkEnd w:id="51"/>
    </w:tbl>
    <w:p w14:paraId="547CE0CD">
      <w:pPr>
        <w:topLinePunct/>
        <w:autoSpaceDE w:val="0"/>
        <w:autoSpaceDN w:val="0"/>
        <w:spacing w:line="360" w:lineRule="auto"/>
        <w:rPr>
          <w:rFonts w:hint="eastAsia" w:ascii="宋体" w:hAnsi="宋体" w:cs="宋体"/>
          <w:color w:val="auto"/>
          <w:szCs w:val="21"/>
          <w:highlight w:val="none"/>
        </w:rPr>
      </w:pPr>
      <w:r>
        <w:rPr>
          <w:rFonts w:ascii="宋体" w:hAnsi="宋体" w:cs="宋体"/>
          <w:color w:val="auto"/>
          <w:szCs w:val="21"/>
          <w:highlight w:val="none"/>
        </w:rPr>
        <w:t>特别说明：</w:t>
      </w:r>
    </w:p>
    <w:p w14:paraId="325CE853">
      <w:pPr>
        <w:topLinePunct/>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14:paraId="40594250">
      <w:pPr>
        <w:topLinePunct/>
        <w:autoSpaceDE w:val="0"/>
        <w:autoSpaceDN w:val="0"/>
        <w:spacing w:line="460" w:lineRule="exact"/>
        <w:rPr>
          <w:rFonts w:hint="eastAsia" w:ascii="宋体" w:hAnsi="宋体" w:cs="宋体"/>
          <w:bCs/>
          <w:color w:val="auto"/>
          <w:w w:val="150"/>
          <w:sz w:val="24"/>
          <w:highlight w:val="none"/>
          <w:shd w:val="clear" w:color="auto" w:fill="FFFF00"/>
        </w:rPr>
      </w:pPr>
    </w:p>
    <w:p w14:paraId="3B734F69">
      <w:pPr>
        <w:topLinePunct/>
        <w:autoSpaceDE w:val="0"/>
        <w:autoSpaceDN w:val="0"/>
        <w:spacing w:line="360" w:lineRule="auto"/>
        <w:jc w:val="center"/>
        <w:rPr>
          <w:rFonts w:hint="eastAsia"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格式12 技术人员简历表</w:t>
      </w: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14:paraId="4B45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60C72CDA">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714" w:type="dxa"/>
            <w:tcBorders>
              <w:top w:val="single" w:color="auto" w:sz="4" w:space="0"/>
              <w:left w:val="single" w:color="auto" w:sz="4" w:space="0"/>
              <w:bottom w:val="single" w:color="auto" w:sz="4" w:space="0"/>
              <w:right w:val="single" w:color="auto" w:sz="4" w:space="0"/>
            </w:tcBorders>
            <w:vAlign w:val="center"/>
          </w:tcPr>
          <w:p w14:paraId="0AB93427">
            <w:pPr>
              <w:adjustRightInd w:val="0"/>
              <w:jc w:val="center"/>
              <w:rPr>
                <w:rFonts w:hint="eastAsia"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6434EC5">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性    别</w:t>
            </w:r>
          </w:p>
        </w:tc>
        <w:tc>
          <w:tcPr>
            <w:tcW w:w="1385" w:type="dxa"/>
            <w:tcBorders>
              <w:top w:val="single" w:color="auto" w:sz="4" w:space="0"/>
              <w:left w:val="single" w:color="auto" w:sz="4" w:space="0"/>
              <w:bottom w:val="single" w:color="auto" w:sz="4" w:space="0"/>
              <w:right w:val="single" w:color="auto" w:sz="4" w:space="0"/>
            </w:tcBorders>
            <w:vAlign w:val="center"/>
          </w:tcPr>
          <w:p w14:paraId="51B1622B">
            <w:pPr>
              <w:adjustRightInd w:val="0"/>
              <w:jc w:val="center"/>
              <w:rPr>
                <w:rFonts w:hint="eastAsia"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9AE5093">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14:paraId="4DAA286B">
            <w:pPr>
              <w:adjustRightInd w:val="0"/>
              <w:jc w:val="center"/>
              <w:rPr>
                <w:rFonts w:hint="eastAsia" w:ascii="宋体" w:hAnsi="宋体" w:cs="宋体"/>
                <w:color w:val="auto"/>
                <w:szCs w:val="21"/>
                <w:highlight w:val="none"/>
              </w:rPr>
            </w:pPr>
          </w:p>
        </w:tc>
      </w:tr>
      <w:tr w14:paraId="3C0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3EC6FE5F">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714" w:type="dxa"/>
            <w:tcBorders>
              <w:top w:val="single" w:color="auto" w:sz="4" w:space="0"/>
              <w:left w:val="single" w:color="auto" w:sz="4" w:space="0"/>
              <w:bottom w:val="single" w:color="auto" w:sz="4" w:space="0"/>
              <w:right w:val="single" w:color="auto" w:sz="4" w:space="0"/>
            </w:tcBorders>
            <w:vAlign w:val="center"/>
          </w:tcPr>
          <w:p w14:paraId="33F1AE65">
            <w:pPr>
              <w:adjustRightInd w:val="0"/>
              <w:jc w:val="center"/>
              <w:rPr>
                <w:rFonts w:hint="eastAsia"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03F8BF3">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14:paraId="5B78E7C5">
            <w:pPr>
              <w:adjustRightInd w:val="0"/>
              <w:jc w:val="center"/>
              <w:rPr>
                <w:rFonts w:hint="eastAsia"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522992EA">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14:paraId="20C214C5">
            <w:pPr>
              <w:adjustRightInd w:val="0"/>
              <w:jc w:val="center"/>
              <w:rPr>
                <w:rFonts w:hint="eastAsia" w:ascii="宋体" w:hAnsi="宋体" w:cs="宋体"/>
                <w:color w:val="auto"/>
                <w:szCs w:val="21"/>
                <w:highlight w:val="none"/>
              </w:rPr>
            </w:pPr>
          </w:p>
        </w:tc>
      </w:tr>
      <w:tr w14:paraId="595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4C09694B">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14:paraId="779A7308">
            <w:pPr>
              <w:adjustRightInd w:val="0"/>
              <w:jc w:val="center"/>
              <w:rPr>
                <w:rFonts w:hint="eastAsia"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132EBED">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14:paraId="4B19839A">
            <w:pPr>
              <w:adjustRightInd w:val="0"/>
              <w:jc w:val="center"/>
              <w:rPr>
                <w:rFonts w:hint="eastAsia"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8EA51D1">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14:paraId="08746B50">
            <w:pPr>
              <w:adjustRightInd w:val="0"/>
              <w:jc w:val="center"/>
              <w:rPr>
                <w:rFonts w:hint="eastAsia" w:ascii="宋体" w:hAnsi="宋体" w:cs="宋体"/>
                <w:color w:val="auto"/>
                <w:szCs w:val="21"/>
                <w:highlight w:val="none"/>
              </w:rPr>
            </w:pPr>
          </w:p>
        </w:tc>
      </w:tr>
      <w:tr w14:paraId="588A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14:paraId="276A0771">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14:paraId="3DE770D5">
            <w:pPr>
              <w:adjustRightInd w:val="0"/>
              <w:jc w:val="center"/>
              <w:rPr>
                <w:rFonts w:hint="eastAsia"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5C881E8">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14:paraId="0230B451">
            <w:pPr>
              <w:adjustRightInd w:val="0"/>
              <w:jc w:val="center"/>
              <w:rPr>
                <w:rFonts w:hint="eastAsia" w:ascii="宋体" w:hAnsi="宋体" w:cs="宋体"/>
                <w:color w:val="auto"/>
                <w:szCs w:val="21"/>
                <w:highlight w:val="none"/>
              </w:rPr>
            </w:pPr>
          </w:p>
        </w:tc>
        <w:tc>
          <w:tcPr>
            <w:tcW w:w="1794" w:type="dxa"/>
            <w:tcBorders>
              <w:top w:val="single" w:color="auto" w:sz="4" w:space="0"/>
              <w:left w:val="single" w:color="auto" w:sz="4" w:space="0"/>
              <w:bottom w:val="single" w:color="auto" w:sz="4" w:space="0"/>
              <w:right w:val="single" w:color="auto" w:sz="4" w:space="0"/>
            </w:tcBorders>
            <w:vAlign w:val="center"/>
          </w:tcPr>
          <w:p w14:paraId="1B0EE232">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14:paraId="4E365AD1">
            <w:pPr>
              <w:adjustRightInd w:val="0"/>
              <w:jc w:val="center"/>
              <w:rPr>
                <w:rFonts w:hint="eastAsia" w:ascii="宋体" w:hAnsi="宋体" w:cs="宋体"/>
                <w:color w:val="auto"/>
                <w:szCs w:val="21"/>
                <w:highlight w:val="none"/>
              </w:rPr>
            </w:pPr>
          </w:p>
        </w:tc>
      </w:tr>
      <w:tr w14:paraId="5FCD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14:paraId="6763854D">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14:paraId="0A420A54">
            <w:pPr>
              <w:adjustRightInd w:val="0"/>
              <w:jc w:val="center"/>
              <w:rPr>
                <w:rFonts w:hint="eastAsia" w:ascii="宋体" w:hAnsi="宋体" w:cs="宋体"/>
                <w:color w:val="auto"/>
                <w:szCs w:val="21"/>
                <w:highlight w:val="none"/>
              </w:rPr>
            </w:pPr>
          </w:p>
        </w:tc>
      </w:tr>
      <w:tr w14:paraId="3F14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14:paraId="37ECD61B">
            <w:pPr>
              <w:rPr>
                <w:rFonts w:hint="eastAsia" w:ascii="宋体" w:hAnsi="宋体" w:cs="宋体"/>
                <w:color w:val="auto"/>
                <w:szCs w:val="21"/>
                <w:highlight w:val="none"/>
              </w:rPr>
            </w:pPr>
            <w:r>
              <w:rPr>
                <w:rFonts w:hint="eastAsia" w:ascii="宋体" w:hAnsi="宋体" w:cs="宋体"/>
                <w:color w:val="auto"/>
                <w:szCs w:val="21"/>
                <w:highlight w:val="none"/>
              </w:rPr>
              <w:t>工作简历及主要业绩</w:t>
            </w:r>
          </w:p>
          <w:p w14:paraId="700F7553">
            <w:pPr>
              <w:adjustRightInd w:val="0"/>
              <w:rPr>
                <w:rFonts w:hint="eastAsia" w:ascii="宋体" w:hAnsi="宋体" w:cs="宋体"/>
                <w:color w:val="auto"/>
                <w:szCs w:val="21"/>
                <w:highlight w:val="none"/>
              </w:rPr>
            </w:pPr>
          </w:p>
        </w:tc>
      </w:tr>
    </w:tbl>
    <w:p w14:paraId="2693C07D">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14:paraId="34062136">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1.投标人应提供投入本项目所有人员的简历。</w:t>
      </w:r>
    </w:p>
    <w:p w14:paraId="59CEBE7D">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2.</w:t>
      </w:r>
      <w:r>
        <w:rPr>
          <w:rFonts w:ascii="Times New Roman" w:hAnsi="Times New Roman"/>
          <w:color w:val="auto"/>
          <w:szCs w:val="21"/>
          <w:highlight w:val="none"/>
          <w:u w:val="single"/>
        </w:rPr>
        <w:t xml:space="preserve">    </w:t>
      </w:r>
      <w:r>
        <w:rPr>
          <w:rFonts w:ascii="Times New Roman" w:hAnsi="Times New Roman"/>
          <w:color w:val="auto"/>
          <w:szCs w:val="21"/>
          <w:highlight w:val="none"/>
        </w:rPr>
        <w:t>等人员应提供</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复印件。 </w:t>
      </w:r>
    </w:p>
    <w:p w14:paraId="62BAE450">
      <w:pPr>
        <w:widowControl/>
        <w:jc w:val="left"/>
        <w:rPr>
          <w:color w:val="auto"/>
          <w:highlight w:val="none"/>
        </w:rPr>
      </w:pPr>
    </w:p>
    <w:p w14:paraId="3845E154">
      <w:pPr>
        <w:widowControl/>
        <w:jc w:val="center"/>
        <w:rPr>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28"/>
          <w:szCs w:val="28"/>
          <w:highlight w:val="none"/>
        </w:rPr>
        <w:t>格式13 投标人售后服务承诺</w:t>
      </w:r>
    </w:p>
    <w:p w14:paraId="30B22808">
      <w:pPr>
        <w:ind w:firstLine="420" w:firstLineChars="200"/>
        <w:rPr>
          <w:color w:val="auto"/>
          <w:szCs w:val="21"/>
          <w:highlight w:val="none"/>
        </w:rPr>
      </w:pPr>
    </w:p>
    <w:p w14:paraId="15F92C04">
      <w:p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(示例略)</w:t>
      </w:r>
    </w:p>
    <w:p w14:paraId="4B2EF077">
      <w:pPr>
        <w:rPr>
          <w:color w:val="auto"/>
          <w:szCs w:val="21"/>
          <w:highlight w:val="none"/>
        </w:rPr>
        <w:sectPr>
          <w:pgSz w:w="11906" w:h="16838"/>
          <w:pgMar w:top="1440" w:right="1752" w:bottom="1440" w:left="1752" w:header="851" w:footer="992" w:gutter="0"/>
          <w:cols w:space="720" w:num="1"/>
          <w:titlePg/>
          <w:docGrid w:type="lines" w:linePitch="312" w:charSpace="0"/>
        </w:sectPr>
      </w:pPr>
    </w:p>
    <w:p w14:paraId="2D8CE821">
      <w:pPr>
        <w:topLinePunct/>
        <w:autoSpaceDE w:val="0"/>
        <w:autoSpaceDN w:val="0"/>
        <w:jc w:val="center"/>
        <w:rPr>
          <w:rFonts w:hint="eastAsia" w:ascii="华文中宋" w:hAnsi="华文中宋" w:eastAsia="华文中宋" w:cs="华文中宋"/>
          <w:bCs/>
          <w:color w:val="auto"/>
          <w:sz w:val="32"/>
          <w:szCs w:val="32"/>
          <w:highlight w:val="none"/>
        </w:rPr>
      </w:pPr>
    </w:p>
    <w:p w14:paraId="3712728E">
      <w:pPr>
        <w:topLinePunct/>
        <w:autoSpaceDE w:val="0"/>
        <w:autoSpaceDN w:val="0"/>
        <w:jc w:val="center"/>
        <w:rPr>
          <w:rFonts w:hint="eastAsia" w:ascii="华文中宋" w:hAnsi="华文中宋" w:eastAsia="华文中宋" w:cs="华文中宋"/>
          <w:bCs/>
          <w:color w:val="auto"/>
          <w:sz w:val="32"/>
          <w:szCs w:val="32"/>
          <w:highlight w:val="none"/>
        </w:rPr>
      </w:pPr>
    </w:p>
    <w:p w14:paraId="23C61AEE">
      <w:pPr>
        <w:topLinePunct/>
        <w:autoSpaceDE w:val="0"/>
        <w:autoSpaceDN w:val="0"/>
        <w:jc w:val="center"/>
        <w:rPr>
          <w:rFonts w:hint="eastAsia" w:ascii="华文中宋" w:hAnsi="华文中宋" w:eastAsia="华文中宋" w:cs="华文中宋"/>
          <w:bCs/>
          <w:color w:val="auto"/>
          <w:sz w:val="32"/>
          <w:szCs w:val="32"/>
          <w:highlight w:val="none"/>
        </w:rPr>
      </w:pPr>
    </w:p>
    <w:p w14:paraId="15A10DE7">
      <w:pPr>
        <w:topLinePunct/>
        <w:autoSpaceDE w:val="0"/>
        <w:autoSpaceDN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招 标 文 件</w:t>
      </w:r>
    </w:p>
    <w:p w14:paraId="3F193096">
      <w:pPr>
        <w:topLinePunct/>
        <w:autoSpaceDE w:val="0"/>
        <w:autoSpaceDN w:val="0"/>
        <w:spacing w:line="60" w:lineRule="exact"/>
        <w:jc w:val="center"/>
        <w:rPr>
          <w:rFonts w:hint="eastAsia" w:ascii="华文中宋" w:hAnsi="华文中宋" w:eastAsia="华文中宋" w:cs="华文中宋"/>
          <w:bCs/>
          <w:color w:val="auto"/>
          <w:sz w:val="32"/>
          <w:szCs w:val="32"/>
          <w:highlight w:val="none"/>
        </w:rPr>
      </w:pPr>
    </w:p>
    <w:p w14:paraId="53099FB0">
      <w:pPr>
        <w:topLinePunct/>
        <w:autoSpaceDE w:val="0"/>
        <w:autoSpaceDN w:val="0"/>
        <w:snapToGrid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（技术部分）</w:t>
      </w:r>
    </w:p>
    <w:p w14:paraId="10D93DEF">
      <w:pPr>
        <w:topLinePunct/>
        <w:autoSpaceDE w:val="0"/>
        <w:autoSpaceDN w:val="0"/>
        <w:snapToGrid w:val="0"/>
        <w:rPr>
          <w:rFonts w:hint="eastAsia" w:ascii="宋体" w:hAnsi="宋体"/>
          <w:color w:val="auto"/>
          <w:sz w:val="32"/>
          <w:szCs w:val="32"/>
          <w:highlight w:val="none"/>
        </w:rPr>
      </w:pPr>
    </w:p>
    <w:p w14:paraId="55981313">
      <w:pPr>
        <w:pStyle w:val="11"/>
        <w:rPr>
          <w:rFonts w:hint="eastAsia" w:ascii="宋体" w:hAnsi="宋体"/>
          <w:color w:val="auto"/>
          <w:sz w:val="32"/>
          <w:szCs w:val="32"/>
          <w:highlight w:val="none"/>
        </w:rPr>
      </w:pPr>
    </w:p>
    <w:p w14:paraId="70898D1D">
      <w:pPr>
        <w:rPr>
          <w:rFonts w:hint="eastAsia" w:ascii="宋体" w:hAnsi="宋体"/>
          <w:color w:val="auto"/>
          <w:sz w:val="32"/>
          <w:szCs w:val="32"/>
          <w:highlight w:val="none"/>
        </w:rPr>
      </w:pPr>
    </w:p>
    <w:p w14:paraId="76C9C7FA">
      <w:pPr>
        <w:pStyle w:val="11"/>
        <w:rPr>
          <w:color w:val="auto"/>
          <w:highlight w:val="none"/>
        </w:rPr>
      </w:pPr>
    </w:p>
    <w:p w14:paraId="1EE08366">
      <w:pPr>
        <w:pStyle w:val="11"/>
        <w:rPr>
          <w:color w:val="auto"/>
          <w:highlight w:val="none"/>
        </w:rPr>
      </w:pPr>
    </w:p>
    <w:p w14:paraId="7AC7BB02">
      <w:pPr>
        <w:jc w:val="center"/>
        <w:rPr>
          <w:rFonts w:hint="eastAsia" w:ascii="方正小标宋简体" w:hAnsi="方正小标宋简体" w:eastAsia="方正小标宋简体" w:cs="方正小标宋简体"/>
          <w:color w:val="auto"/>
          <w:sz w:val="24"/>
          <w:szCs w:val="24"/>
          <w:highlight w:val="none"/>
          <w:u w:val="single"/>
        </w:rPr>
      </w:pPr>
      <w:r>
        <w:rPr>
          <w:rFonts w:hint="eastAsia" w:ascii="方正小标宋简体" w:hAnsi="方正小标宋简体" w:eastAsia="方正小标宋简体" w:cs="方正小标宋简体"/>
          <w:color w:val="auto"/>
          <w:sz w:val="24"/>
          <w:szCs w:val="24"/>
          <w:highlight w:val="none"/>
        </w:rPr>
        <w:t>项目名称：</w:t>
      </w:r>
      <w:r>
        <w:rPr>
          <w:rFonts w:hint="eastAsia" w:ascii="方正小标宋简体" w:hAnsi="方正小标宋简体" w:eastAsia="方正小标宋简体" w:cs="方正小标宋简体"/>
          <w:color w:val="auto"/>
          <w:sz w:val="24"/>
          <w:szCs w:val="24"/>
          <w:highlight w:val="none"/>
          <w:u w:val="single"/>
        </w:rPr>
        <w:t>国家税务总局福州市税务局12366纳税服务咨询外包采购项目</w:t>
      </w:r>
    </w:p>
    <w:p w14:paraId="6F8EC6CB">
      <w:pPr>
        <w:jc w:val="center"/>
        <w:rPr>
          <w:rFonts w:hint="eastAsia" w:ascii="方正小标宋简体" w:hAnsi="方正小标宋简体" w:eastAsia="方正小标宋简体" w:cs="方正小标宋简体"/>
          <w:color w:val="auto"/>
          <w:sz w:val="24"/>
          <w:szCs w:val="24"/>
          <w:highlight w:val="none"/>
          <w:lang w:eastAsia="zh-CN"/>
        </w:rPr>
      </w:pPr>
      <w:r>
        <w:rPr>
          <w:rFonts w:hint="eastAsia" w:ascii="方正小标宋简体" w:hAnsi="方正小标宋简体" w:eastAsia="方正小标宋简体" w:cs="方正小标宋简体"/>
          <w:color w:val="auto"/>
          <w:sz w:val="24"/>
          <w:szCs w:val="24"/>
          <w:highlight w:val="none"/>
        </w:rPr>
        <w:t>项目编号：</w:t>
      </w:r>
      <w:r>
        <w:rPr>
          <w:rFonts w:hint="eastAsia" w:ascii="方正小标宋简体" w:hAnsi="方正小标宋简体" w:eastAsia="方正小标宋简体" w:cs="方正小标宋简体"/>
          <w:color w:val="auto"/>
          <w:sz w:val="24"/>
          <w:szCs w:val="24"/>
          <w:highlight w:val="none"/>
          <w:u w:val="single"/>
          <w:lang w:eastAsia="zh-CN"/>
        </w:rPr>
        <w:t>FJ2025-DLGK-C0019-B00</w:t>
      </w:r>
    </w:p>
    <w:p w14:paraId="4E182601">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采购人名称：</w:t>
      </w:r>
      <w:r>
        <w:rPr>
          <w:rFonts w:hint="eastAsia" w:ascii="方正小标宋简体" w:hAnsi="方正小标宋简体" w:eastAsia="方正小标宋简体" w:cs="方正小标宋简体"/>
          <w:color w:val="auto"/>
          <w:sz w:val="24"/>
          <w:szCs w:val="24"/>
          <w:highlight w:val="none"/>
          <w:u w:val="single"/>
        </w:rPr>
        <w:t>国家税务总局福州市税务局</w:t>
      </w:r>
    </w:p>
    <w:p w14:paraId="2E9F9FC9">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采购代理机构：</w:t>
      </w:r>
      <w:r>
        <w:rPr>
          <w:rFonts w:hint="eastAsia" w:ascii="方正小标宋简体" w:hAnsi="方正小标宋简体" w:eastAsia="方正小标宋简体" w:cs="方正小标宋简体"/>
          <w:color w:val="auto"/>
          <w:sz w:val="24"/>
          <w:szCs w:val="24"/>
          <w:highlight w:val="none"/>
          <w:u w:val="single"/>
        </w:rPr>
        <w:t>福建省福瑞工程管理有限公司</w:t>
      </w:r>
    </w:p>
    <w:p w14:paraId="70B51C77">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14:paraId="312F1D6D">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14:paraId="3554E5D6">
      <w:pPr>
        <w:topLinePunct/>
        <w:autoSpaceDE w:val="0"/>
        <w:autoSpaceDN w:val="0"/>
        <w:spacing w:line="460" w:lineRule="exact"/>
        <w:rPr>
          <w:rFonts w:hint="eastAsia" w:ascii="方正小标宋简体" w:hAnsi="方正小标宋简体" w:eastAsia="方正小标宋简体" w:cs="方正小标宋简体"/>
          <w:b/>
          <w:color w:val="auto"/>
          <w:sz w:val="24"/>
          <w:szCs w:val="24"/>
          <w:highlight w:val="none"/>
        </w:rPr>
      </w:pPr>
    </w:p>
    <w:p w14:paraId="5D7A035E">
      <w:pPr>
        <w:topLinePunct/>
        <w:autoSpaceDE w:val="0"/>
        <w:autoSpaceDN w:val="0"/>
        <w:spacing w:line="460" w:lineRule="exact"/>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国家税务总局福州市税务局</w:t>
      </w:r>
    </w:p>
    <w:p w14:paraId="7CBE7058">
      <w:pPr>
        <w:topLinePunct/>
        <w:autoSpaceDE w:val="0"/>
        <w:autoSpaceDN w:val="0"/>
        <w:spacing w:line="160" w:lineRule="exact"/>
        <w:jc w:val="center"/>
        <w:rPr>
          <w:rFonts w:hint="eastAsia" w:ascii="方正小标宋简体" w:hAnsi="方正小标宋简体" w:eastAsia="方正小标宋简体" w:cs="方正小标宋简体"/>
          <w:color w:val="auto"/>
          <w:sz w:val="24"/>
          <w:szCs w:val="24"/>
          <w:highlight w:val="none"/>
        </w:rPr>
      </w:pPr>
    </w:p>
    <w:p w14:paraId="328CC319">
      <w:pPr>
        <w:topLinePunct/>
        <w:autoSpaceDE w:val="0"/>
        <w:autoSpaceDN w:val="0"/>
        <w:spacing w:line="460" w:lineRule="exact"/>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2025年4月</w:t>
      </w:r>
      <w:r>
        <w:rPr>
          <w:rFonts w:hint="eastAsia" w:ascii="方正小标宋简体" w:hAnsi="方正小标宋简体" w:eastAsia="方正小标宋简体" w:cs="方正小标宋简体"/>
          <w:color w:val="auto"/>
          <w:sz w:val="24"/>
          <w:szCs w:val="24"/>
          <w:highlight w:val="none"/>
          <w:lang w:val="en-US" w:eastAsia="zh-CN"/>
        </w:rPr>
        <w:t>14</w:t>
      </w:r>
      <w:bookmarkStart w:id="60" w:name="_GoBack"/>
      <w:bookmarkEnd w:id="60"/>
      <w:r>
        <w:rPr>
          <w:rFonts w:hint="eastAsia" w:ascii="方正小标宋简体" w:hAnsi="方正小标宋简体" w:eastAsia="方正小标宋简体" w:cs="方正小标宋简体"/>
          <w:color w:val="auto"/>
          <w:sz w:val="24"/>
          <w:szCs w:val="24"/>
          <w:highlight w:val="none"/>
        </w:rPr>
        <w:t>日</w:t>
      </w:r>
    </w:p>
    <w:p w14:paraId="6CCEF828">
      <w:pPr>
        <w:widowControl/>
        <w:jc w:val="center"/>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52" w:name="_Toc132880285"/>
      <w:r>
        <w:rPr>
          <w:rFonts w:hint="eastAsia" w:ascii="华文中宋" w:hAnsi="华文中宋" w:eastAsia="华文中宋" w:cs="华文中宋"/>
          <w:color w:val="auto"/>
          <w:sz w:val="28"/>
          <w:szCs w:val="28"/>
          <w:highlight w:val="none"/>
        </w:rPr>
        <w:t>第六章  项目采购需求</w:t>
      </w:r>
      <w:bookmarkEnd w:id="52"/>
    </w:p>
    <w:p w14:paraId="55530A32">
      <w:pPr>
        <w:pStyle w:val="2"/>
        <w:jc w:val="center"/>
        <w:rPr>
          <w:color w:val="auto"/>
          <w:highlight w:val="none"/>
        </w:rPr>
      </w:pPr>
      <w:r>
        <w:rPr>
          <w:rFonts w:hint="eastAsia"/>
          <w:color w:val="auto"/>
          <w:sz w:val="24"/>
          <w:szCs w:val="28"/>
          <w:highlight w:val="none"/>
        </w:rPr>
        <w:t>本章全部内容必须满足，均为不允许负偏离的实质性要求，供应商有任一项负偏离的，按无效投标处理。</w:t>
      </w:r>
    </w:p>
    <w:p w14:paraId="0E65C18C">
      <w:pPr>
        <w:pStyle w:val="3"/>
        <w:keepNext w:val="0"/>
        <w:spacing w:line="580" w:lineRule="exact"/>
        <w:ind w:firstLine="562"/>
        <w:rPr>
          <w:bCs/>
          <w:color w:val="auto"/>
          <w:sz w:val="28"/>
          <w:szCs w:val="28"/>
          <w:highlight w:val="none"/>
        </w:rPr>
      </w:pPr>
      <w:bookmarkStart w:id="53" w:name="_Toc256000000"/>
      <w:r>
        <w:rPr>
          <w:rFonts w:hint="eastAsia"/>
          <w:bCs/>
          <w:color w:val="auto"/>
          <w:sz w:val="28"/>
          <w:szCs w:val="28"/>
          <w:highlight w:val="none"/>
        </w:rPr>
        <w:t>一、项目概述</w:t>
      </w:r>
    </w:p>
    <w:p w14:paraId="78B5E06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国家税务总局福州市税务局12366纳税缴费服务热线（以下简称“福州12366 ”），采用省级集中接入集中控制，集中呼出的热线服务模式，统一使用国家信息产业部核批的税务机关特服号12366开展语音服务（包括自动语音咨询和人工坐席咨询），自动语音咨询提供全天候24小时服务，人工坐席在工作日8:30-17:30期间提供人工接听服务。主要功能为：纳税缴费咨询、涉税（费）投诉举报、办税（费）指引、意见建议等。</w:t>
      </w:r>
    </w:p>
    <w:p w14:paraId="5925D590">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本项目将通过招标方式采购国家税务总局福州市税务局12366纳税服务咨询外包服务（含50</w:t>
      </w:r>
      <w:r>
        <w:rPr>
          <w:rFonts w:hint="eastAsia" w:ascii="宋体" w:hAnsi="宋体" w:cs="宋体"/>
          <w:color w:val="auto"/>
          <w:sz w:val="21"/>
          <w:szCs w:val="21"/>
          <w:highlight w:val="none"/>
          <w:lang w:val="en-US" w:eastAsia="zh-CN"/>
        </w:rPr>
        <w:t>个坐席岗位</w:t>
      </w:r>
      <w:r>
        <w:rPr>
          <w:rFonts w:hint="eastAsia" w:ascii="宋体" w:hAnsi="宋体" w:cs="宋体"/>
          <w:snapToGrid w:val="0"/>
          <w:color w:val="auto"/>
          <w:sz w:val="21"/>
          <w:szCs w:val="21"/>
          <w:highlight w:val="none"/>
          <w:lang w:val="en-US" w:eastAsia="zh-CN"/>
        </w:rPr>
        <w:t>）。服务外包项目由中标服务商进行管理，福州市税务局有权监督。服务期限自合同约定的服务期限起算日起24个月，每年服务经费预算为人民币570万元，两年合计总预算人民币1140万元。</w:t>
      </w:r>
    </w:p>
    <w:p w14:paraId="53E1E583">
      <w:pPr>
        <w:pStyle w:val="29"/>
        <w:spacing w:line="360" w:lineRule="auto"/>
        <w:ind w:firstLine="367" w:firstLineChars="175"/>
        <w:rPr>
          <w:rFonts w:hint="eastAsia" w:hAnsi="宋体" w:cs="宋体"/>
          <w:bCs/>
          <w:color w:val="auto"/>
          <w:kern w:val="2"/>
          <w:sz w:val="21"/>
          <w:szCs w:val="21"/>
          <w:highlight w:val="none"/>
        </w:rPr>
      </w:pPr>
      <w:r>
        <w:rPr>
          <w:rFonts w:hint="eastAsia" w:hAnsi="宋体" w:cs="宋体"/>
          <w:snapToGrid w:val="0"/>
          <w:color w:val="auto"/>
          <w:sz w:val="21"/>
          <w:szCs w:val="21"/>
          <w:highlight w:val="none"/>
        </w:rPr>
        <w:t>该项目立足于将福州12366打造成税务机关连接纳税人缴费人的桥梁纽带，实时了解纳税人缴费人需求、给予纳税人缴费人及时准确服务，展现税务机关为纳税人缴费人优质服务的精神风貌。</w:t>
      </w:r>
    </w:p>
    <w:p w14:paraId="44F7CF1F">
      <w:pPr>
        <w:pStyle w:val="3"/>
        <w:keepNext w:val="0"/>
        <w:spacing w:line="580" w:lineRule="exact"/>
        <w:ind w:firstLine="562"/>
        <w:rPr>
          <w:bCs/>
          <w:color w:val="auto"/>
          <w:sz w:val="28"/>
          <w:szCs w:val="28"/>
          <w:highlight w:val="none"/>
        </w:rPr>
      </w:pPr>
      <w:r>
        <w:rPr>
          <w:rFonts w:hint="eastAsia"/>
          <w:bCs/>
          <w:color w:val="auto"/>
          <w:sz w:val="28"/>
          <w:szCs w:val="28"/>
          <w:highlight w:val="none"/>
        </w:rPr>
        <w:t>二、技术要求（技术要求及服务）</w:t>
      </w:r>
    </w:p>
    <w:p w14:paraId="13004EF2">
      <w:pPr>
        <w:adjustRightInd w:val="0"/>
        <w:snapToGrid w:val="0"/>
        <w:spacing w:line="560" w:lineRule="exact"/>
        <w:rPr>
          <w:rFonts w:hint="eastAsia" w:ascii="宋体" w:hAnsi="宋体" w:cs="宋体"/>
          <w:b/>
          <w:bCs/>
          <w:color w:val="auto"/>
          <w:sz w:val="22"/>
          <w:highlight w:val="none"/>
        </w:rPr>
      </w:pPr>
      <w:r>
        <w:rPr>
          <w:rFonts w:hint="eastAsia" w:ascii="宋体" w:hAnsi="宋体" w:cs="宋体"/>
          <w:b/>
          <w:bCs/>
          <w:color w:val="auto"/>
          <w:sz w:val="24"/>
          <w:szCs w:val="24"/>
          <w:highlight w:val="none"/>
        </w:rPr>
        <w:t>项目需求：</w:t>
      </w:r>
    </w:p>
    <w:p w14:paraId="17F0A4F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(一)业务需求</w:t>
      </w:r>
    </w:p>
    <w:p w14:paraId="3A047D04">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1.需求概述</w:t>
      </w:r>
    </w:p>
    <w:p w14:paraId="504FD01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福州12366为纳税人缴费人提供优质高效的专业化服务，包括12366纳税缴费服务热线、12366网站咨询等多种服务渠道。纳税人缴费人能够通过电话、留言、互联网等方式请求服务，12366可选择采取自动语音、人工坐席、短信、留言、电子邮件、互联网等方式，提供自动或人工的应答服务。</w:t>
      </w:r>
    </w:p>
    <w:p w14:paraId="045C57BD">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2.工作流程</w:t>
      </w:r>
    </w:p>
    <w:p w14:paraId="4FDC504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中标人应在采购人的指导和要求下，以12366纳税缴费服务热线基本工作流程和作业标准为基础，按照采购人12366业务规范及流程操作。</w:t>
      </w:r>
    </w:p>
    <w:p w14:paraId="68FDE25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（二）技术需求</w:t>
      </w:r>
    </w:p>
    <w:p w14:paraId="4C8FD119">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负责对服务外包人员进行人员和业务流程的全面管理，保证服务外包人员上线率，做好对福州12366服务外包的管理工作，制定业务考核办法等系统建设工作，负责招聘坐席服务人员、岗前培训（含基本礼仪培训、基本服务技能培训、税收基础和会计基础培训、各税、费基础政策培训、企业所得税年度汇算清缴、出口退税申报实务、财会知识以及12366系统操作培训等专业培训）、日常培训（包括税收业务新政策、典型案例分析、沟通技巧学习等）等。中标人负责服务外包人员的日常管理、薪资福利管理、质量监测、绩效考核、党工青妇活动等，为服务外包人员提供必要的工作电脑、打印机、办公用品等，并提供统一的着装，依照劳动合同对服务外包人员进行管理等。</w:t>
      </w:r>
    </w:p>
    <w:p w14:paraId="398E634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采购人负责对合同约定的工作进行督促检查，并协助中标人进行服务质效监测，提供招聘条件、岗位职责标准、考核指标要求及考核建议、工作环境和部分工作用品、提供12366中心话务系统和业务支持。</w:t>
      </w:r>
    </w:p>
    <w:p w14:paraId="1CE2581C">
      <w:pPr>
        <w:pStyle w:val="27"/>
        <w:spacing w:after="156" w:line="560" w:lineRule="exact"/>
        <w:ind w:firstLine="0" w:firstLineChars="0"/>
        <w:rPr>
          <w:rFonts w:hint="eastAsia" w:ascii="宋体" w:hAnsi="宋体" w:cs="宋体"/>
          <w:b/>
          <w:bCs/>
          <w:color w:val="auto"/>
          <w:sz w:val="22"/>
          <w:szCs w:val="22"/>
          <w:highlight w:val="none"/>
        </w:rPr>
      </w:pPr>
      <w:r>
        <w:rPr>
          <w:rFonts w:hint="eastAsia" w:ascii="宋体" w:hAnsi="宋体" w:cs="宋体"/>
          <w:b/>
          <w:bCs/>
          <w:color w:val="auto"/>
          <w:sz w:val="24"/>
          <w:szCs w:val="24"/>
          <w:highlight w:val="none"/>
        </w:rPr>
        <w:t>服务内容：</w:t>
      </w:r>
    </w:p>
    <w:p w14:paraId="7EB80FA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（一）技术服务内容</w:t>
      </w:r>
    </w:p>
    <w:p w14:paraId="3ADD567B">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中标人必须提供必要的工作设备，包括工作电脑、打印机等；同时根据采购人办公地址调整需要，做好人员、家具及办公设备等物品的迁移工作。</w:t>
      </w:r>
    </w:p>
    <w:p w14:paraId="3EC6F1A1">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1.工作电脑（要求为品牌机）</w:t>
      </w:r>
    </w:p>
    <w:p w14:paraId="77B0F584">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每位坐席及管理人员、业务支持人员、话务质检人员及培训人员均要求人均配置至少一台符合工作要求的电脑。</w:t>
      </w:r>
    </w:p>
    <w:p w14:paraId="48767B46">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由于12366热线系统为国家税务总局统一开发部署于税务专网的应用系统，若今后国家税务总局明确要求工作电脑必须为信创版，则中标人必须无条件遵从，予以更换。若根据12366转型升级相关工作要求需额外配备符合征纳互动业务需求的电脑，中标人必须无条件及时予以配置。</w:t>
      </w:r>
    </w:p>
    <w:p w14:paraId="24DFD50A">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2.打印机</w:t>
      </w:r>
    </w:p>
    <w:p w14:paraId="54D69C5B">
      <w:pPr>
        <w:pStyle w:val="33"/>
        <w:spacing w:line="560" w:lineRule="exact"/>
        <w:rPr>
          <w:rFonts w:hint="eastAsia" w:ascii="宋体" w:hAnsi="宋体" w:cs="宋体"/>
          <w:snapToGrid w:val="0"/>
          <w:color w:val="auto"/>
          <w:sz w:val="21"/>
          <w:szCs w:val="21"/>
          <w:highlight w:val="none"/>
          <w:lang w:val="zh-CN" w:eastAsia="zh-CN"/>
        </w:rPr>
      </w:pPr>
      <w:r>
        <w:rPr>
          <w:rFonts w:hint="eastAsia" w:ascii="宋体" w:hAnsi="宋体" w:cs="宋体"/>
          <w:snapToGrid w:val="0"/>
          <w:color w:val="auto"/>
          <w:sz w:val="21"/>
          <w:szCs w:val="21"/>
          <w:highlight w:val="none"/>
          <w:lang w:val="en-US" w:eastAsia="zh-CN"/>
        </w:rPr>
        <w:t>配置符合工作要求的激光黑白双面网络打印机5台，</w:t>
      </w:r>
      <w:r>
        <w:rPr>
          <w:rFonts w:hint="eastAsia" w:ascii="宋体" w:hAnsi="宋体" w:cs="宋体"/>
          <w:snapToGrid w:val="0"/>
          <w:color w:val="auto"/>
          <w:sz w:val="21"/>
          <w:szCs w:val="21"/>
          <w:highlight w:val="none"/>
          <w:lang w:val="zh-CN" w:eastAsia="zh-CN"/>
        </w:rPr>
        <w:t>中标人需根据国家税务总局、福建省税务局对打印机的要求及时进行升级换代。</w:t>
      </w:r>
    </w:p>
    <w:p w14:paraId="3E35F391">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3.其他设备</w:t>
      </w:r>
    </w:p>
    <w:p w14:paraId="786B5699">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zh-CN" w:eastAsia="zh-CN"/>
        </w:rPr>
        <w:t>若根据12366转型升级等工作要求需额外配备征纳互动业务所需其他硬件设施（如</w:t>
      </w:r>
      <w:r>
        <w:rPr>
          <w:rFonts w:hint="eastAsia" w:ascii="宋体" w:hAnsi="宋体" w:cs="宋体"/>
          <w:snapToGrid w:val="0"/>
          <w:color w:val="auto"/>
          <w:sz w:val="21"/>
          <w:szCs w:val="21"/>
          <w:highlight w:val="none"/>
          <w:lang w:val="en-US" w:eastAsia="zh-CN"/>
        </w:rPr>
        <w:t>IP电话、耳麦、摄像头等</w:t>
      </w:r>
      <w:r>
        <w:rPr>
          <w:rFonts w:hint="eastAsia" w:ascii="宋体" w:hAnsi="宋体" w:cs="宋体"/>
          <w:snapToGrid w:val="0"/>
          <w:color w:val="auto"/>
          <w:sz w:val="21"/>
          <w:szCs w:val="21"/>
          <w:highlight w:val="none"/>
          <w:lang w:val="zh-CN" w:eastAsia="zh-CN"/>
        </w:rPr>
        <w:t>），中标人必须无条件及时予以配置。</w:t>
      </w:r>
    </w:p>
    <w:p w14:paraId="4A18F0D3">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4.维护和响应</w:t>
      </w:r>
    </w:p>
    <w:p w14:paraId="49EEAF5A">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中标人需对工作电脑、打印机及其他提供的设备进行维护和响应，保证设备的稳定和服务不间断，工作电脑的可用率不低于95%，对于故障设备的更换，时间不超过7天。</w:t>
      </w:r>
    </w:p>
    <w:p w14:paraId="311B687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（二）服务期限要求</w:t>
      </w:r>
    </w:p>
    <w:p w14:paraId="44396FD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snapToGrid w:val="0"/>
          <w:color w:val="auto"/>
          <w:szCs w:val="21"/>
          <w:highlight w:val="none"/>
        </w:rPr>
        <w:t>采购期限为两年，服务期限自合同约定的服务期限起算日起24个月。合同采用一年一签的方式，采购人将根据上级对项目资金使用规定、12366转型升级对服务外包团队采购要求的变化以及合同期内合同履行情况进行验收考核的结果，决定是否续签或重新采购。</w:t>
      </w:r>
    </w:p>
    <w:p w14:paraId="670C3D4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（三）服务方式要求</w:t>
      </w:r>
    </w:p>
    <w:p w14:paraId="47CF5A5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应在合同签订后，自合同约定的服务期限起算日起即能向采购人提供足够的符合上线条件的坐席人员，并开始提供服务，通过热线电话、网络等渠道为纳税人缴费人提供政策咨询、办税指引、投诉举报和意见建议等服务，以及采购人要求开展的相关纳税缴费服务工作。</w:t>
      </w:r>
    </w:p>
    <w:p w14:paraId="0C8CBFB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（四）服务人员要求</w:t>
      </w:r>
    </w:p>
    <w:p w14:paraId="2CFA783D">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1．人员要求</w:t>
      </w:r>
    </w:p>
    <w:p w14:paraId="14579AA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中标人根据采购人的要求，在全社会公开招聘坐席人员岗位不少于50个。坐席人员上岗前均应通过中标人组织的岗前培训，并经采购人测试合格后方能上岗。</w:t>
      </w:r>
    </w:p>
    <w:p w14:paraId="0B8DE1AE">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 xml:space="preserve">坐席人员应具备以下条件： </w:t>
      </w:r>
    </w:p>
    <w:p w14:paraId="69763CBC">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（1）年龄原则上不超过35岁（截至2024年12月31日）；</w:t>
      </w:r>
    </w:p>
    <w:p w14:paraId="5D35CA8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（2）普通话达二级乙等（含）以上（在合同期内达成即可）；</w:t>
      </w:r>
    </w:p>
    <w:p w14:paraId="3FD8B4F7">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（3）汉字录入速度不低于 80 字/分钟；</w:t>
      </w:r>
    </w:p>
    <w:p w14:paraId="25658AC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（4）具备较强的服务意识和语言表达能力、良好的沟通能力、记忆能力、心理承受能力和学习能力；</w:t>
      </w:r>
    </w:p>
    <w:p w14:paraId="4DF3BD9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（5）身体健康；</w:t>
      </w:r>
    </w:p>
    <w:p w14:paraId="6093B10A">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（6）有相关工作经验者，经采购人审核把关后，可适当放宽条件。</w:t>
      </w:r>
    </w:p>
    <w:p w14:paraId="4A05CE20">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2.人才储备</w:t>
      </w:r>
    </w:p>
    <w:p w14:paraId="0170917B">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中标人需按本项目要求，针对本项目坐席人员需求的波动及 12366 中心正常的人员流失率等情况，制订人才储备计划，保障充分的人员补充渠道，满足项目用人需求，确保人员上线率和服务质效（人才储备计划需在投标文件中提供）。</w:t>
      </w:r>
    </w:p>
    <w:p w14:paraId="3D6FD812">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3.人员到位</w:t>
      </w:r>
    </w:p>
    <w:p w14:paraId="65D4D82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（1）中标人服务外包招录人员经采购人确认符合条件后，要在与中标人签订劳动合同后 7 天内到位。</w:t>
      </w:r>
    </w:p>
    <w:p w14:paraId="45E4B53B">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（2）服务外包人员要组织一个月以上的岗前业务培训。</w:t>
      </w:r>
    </w:p>
    <w:p w14:paraId="1C75286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（3）服务外包人员变动或因连续超过一个月的假期需要补充人员的，中标人要在接到采购人通知的7日内完成。</w:t>
      </w:r>
    </w:p>
    <w:p w14:paraId="257EDFED">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（4）中标人应在本合同生效之日起10日内完成合同规定人数的80%（含）以上经采购人确认符合条件的坐席、管理人员和业务支持人员到岗。</w:t>
      </w:r>
    </w:p>
    <w:p w14:paraId="2ABB794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（5）中标人要做好福州12366原来的服务外包合同衔接期的平稳过渡工作，保证福州12366平稳、正常、有序运转。</w:t>
      </w:r>
    </w:p>
    <w:p w14:paraId="33760B39">
      <w:pPr>
        <w:adjustRightInd w:val="0"/>
        <w:snapToGrid w:val="0"/>
        <w:spacing w:line="56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4.人员管理</w:t>
      </w:r>
    </w:p>
    <w:p w14:paraId="22C1C7BD">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为了便于现场管理，中标人需另行设置2个现场管理岗位，负责服务外包团队日常管理工作，具体负责坐席的出勤、培训、服务质检，坐席月度考核，负责与采购人进行协调沟通，每月将月度运行分析报告、坐席整体工作情况、月度热点问题专题分析等材料书面反馈至采购人（现场管理人员不另外支付费用）。</w:t>
      </w:r>
    </w:p>
    <w:p w14:paraId="574E5F4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2）中标人需设置10个业务支持岗，并于合同签订后10日内配齐业务支持人员，业务支持人员可由坐席兼任，主要负责提供对口业务支持、开展业务培训、知识库规范化管理、质量监控、与业务处室沟通联动、收集意见建议、收集热点问题、话务间现场巡察等。</w:t>
      </w:r>
    </w:p>
    <w:p w14:paraId="3156A17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（3）中标人需配备自有培训师资10名（含）以上（可由业务支持人员兼任）。</w:t>
      </w:r>
    </w:p>
    <w:p w14:paraId="02E0268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（4）采购人对以下情形，有提出撤换人员的权利。中标人应按采购人要求进行撤换，并在采购人指定时间内完成。</w:t>
      </w:r>
    </w:p>
    <w:p w14:paraId="1851FA26">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一是对于连续三个月考核成绩位于服务外包人员考核成绩中末位的；</w:t>
      </w:r>
    </w:p>
    <w:p w14:paraId="55F2DA44">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二是违反采购人机关管理、工作制度、安全、保密等相关规定和12366管理规定，拒不接受教育、改正的；</w:t>
      </w:r>
    </w:p>
    <w:p w14:paraId="75E20A4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三是被上级主管部门、地方政府通报批评的或严重影响税务形象的；</w:t>
      </w:r>
    </w:p>
    <w:p w14:paraId="0AB941E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四是在一个工作年度内，被投诉三次以上的（含三次）；</w:t>
      </w:r>
    </w:p>
    <w:p w14:paraId="6B64AA0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五是经过岗前测试不合格、补考后仍旧不符合岗位要求的；</w:t>
      </w:r>
    </w:p>
    <w:p w14:paraId="4A0C9FA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六是因个人身体原因，不适合服务外包岗位的。</w:t>
      </w:r>
    </w:p>
    <w:p w14:paraId="2BD99F6D">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七是其它影响工作的情形。</w:t>
      </w:r>
    </w:p>
    <w:p w14:paraId="423D90E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5）中标人不得随意更换管理人员或业务支持人员，如需更换管理人员或业务支持人员，应提前一个月通知采购人，并安排好替代人员，确保人员办理完毕交接手续方可离岗。新的管理人员或业务支持人员需经过采购人审核相关资质后方可上岗。</w:t>
      </w:r>
    </w:p>
    <w:p w14:paraId="4C100E7D">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6）中标人需制定坐席人员的话务质检方案，配备符合条件的质检人员，且每月抽取监听有效样本总量不低于人工服务总量的3%（含）。若因税务总局、福建省税务局要求，要开展网络咨询工作，每月需抽取监测网络咨询（含留言）有效样本总量不低于网络咨询人工服务总量的3%（含）。</w:t>
      </w:r>
    </w:p>
    <w:p w14:paraId="4AADA725">
      <w:pPr>
        <w:pStyle w:val="27"/>
        <w:spacing w:after="156" w:line="560" w:lineRule="exact"/>
        <w:ind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项目管理和实施要求：</w:t>
      </w:r>
    </w:p>
    <w:p w14:paraId="5DC289B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（一）日常管理要求</w:t>
      </w:r>
    </w:p>
    <w:p w14:paraId="2A22FCD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为确保福州12366对外提供的服务水平和服务质量能达到预期的目标，需对服务商提供的服务行为进行规范，主要内容如下：</w:t>
      </w:r>
    </w:p>
    <w:p w14:paraId="3E4AB71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须提交人员上线排班计划，排班计划要求科学合理。日常工作中，中标人应根据采购人需要，进行相应的排班调整。人工坐席和网络咨询在约定的工作时间内提供人工接听和网络咨询服务。如因为国家税务总局、福建省税务局以及采购人特别业务需求，需要临时在正常工作时间之外提供人工接听和网络在线服务的，由中标人通过排班调整等方式，安排人员提供人工接听和网络在线服务，不另外收费。若确因特殊需求，需要中标人提供额外人工接听和网络在线服务而增加费用的，由采购人和中标人双方协商确定。</w:t>
      </w:r>
    </w:p>
    <w:p w14:paraId="369DBCB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中标人需负责工作环境、活动场所的维护，保持工作场地整洁卫生，配备保洁人员并承担相应的保洁费用。</w:t>
      </w:r>
    </w:p>
    <w:p w14:paraId="1E69C00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中标人要组织开展合理、完善的团队活动，并提供相应的经费保障。</w:t>
      </w:r>
    </w:p>
    <w:p w14:paraId="5A6E0E0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服务外包人员（包括管理人员）上岗时应统一着装制服，制服由中标人负责提供。</w:t>
      </w:r>
    </w:p>
    <w:p w14:paraId="6D2CDFD4">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中标人应严格要求服务外包人员遵守采购人机关和12366各项管理规定，包括保密制度、门禁制度、信息安全管理规定、环境卫生制度及12366运行管理制度规定等。</w:t>
      </w:r>
    </w:p>
    <w:p w14:paraId="04F80876">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为保障本项目有效运作，中标人与采购人应建立有效的沟通机制。中标人每月须根据双方确定的要求，提供月度运营分析报告、月度热点问题专题分析等运营分析材料给采购人，并根据运营的情况，及时发现存在的问题，提出完善和解决方案。</w:t>
      </w:r>
    </w:p>
    <w:p w14:paraId="1447E850">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采购人有权监控中标人的坐席忙闲情况、话务情况，有权实施话务监听、录音质检及网络咨询质检，并调取中标人的各类话务统计报表等，中标人应当予以配合，并按时将资料准备好，随时接受采购人的查阅。</w:t>
      </w:r>
    </w:p>
    <w:p w14:paraId="180AC3B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中标人需配合采购人做好专项工作保障。对于领导接访日、纳税人开放日等重要专项工作，中标人应根据采购人要求提供人员支持与保障。</w:t>
      </w:r>
    </w:p>
    <w:p w14:paraId="293B0147">
      <w:pPr>
        <w:adjustRightInd w:val="0"/>
        <w:snapToGrid w:val="0"/>
        <w:spacing w:line="560" w:lineRule="exact"/>
        <w:ind w:firstLine="420" w:firstLineChars="200"/>
        <w:rPr>
          <w:rFonts w:ascii="仿宋_GB2312" w:eastAsia="仿宋_GB2312"/>
          <w:color w:val="auto"/>
          <w:sz w:val="32"/>
          <w:szCs w:val="32"/>
          <w:highlight w:val="none"/>
        </w:rPr>
      </w:pPr>
      <w:r>
        <w:rPr>
          <w:rFonts w:hint="eastAsia" w:ascii="宋体" w:hAnsi="宋体" w:cs="宋体"/>
          <w:color w:val="auto"/>
          <w:szCs w:val="21"/>
          <w:highlight w:val="none"/>
        </w:rPr>
        <w:t>（二）项目实施地点：</w:t>
      </w:r>
      <w:r>
        <w:rPr>
          <w:rFonts w:hint="eastAsia" w:ascii="宋体" w:hAnsi="宋体" w:cs="宋体"/>
          <w:snapToGrid w:val="0"/>
          <w:color w:val="auto"/>
          <w:szCs w:val="21"/>
          <w:highlight w:val="none"/>
        </w:rPr>
        <w:t>采购人指定的最终服务地点（福州城区内）</w:t>
      </w:r>
      <w:bookmarkEnd w:id="53"/>
    </w:p>
    <w:p w14:paraId="323664CC">
      <w:pPr>
        <w:pStyle w:val="3"/>
        <w:keepNext w:val="0"/>
        <w:spacing w:line="580" w:lineRule="exact"/>
        <w:ind w:firstLine="0" w:firstLineChars="0"/>
        <w:rPr>
          <w:bCs/>
          <w:color w:val="auto"/>
          <w:sz w:val="28"/>
          <w:szCs w:val="28"/>
          <w:highlight w:val="none"/>
        </w:rPr>
      </w:pPr>
      <w:r>
        <w:rPr>
          <w:rFonts w:hint="eastAsia"/>
          <w:bCs/>
          <w:color w:val="auto"/>
          <w:sz w:val="28"/>
          <w:szCs w:val="28"/>
          <w:highlight w:val="none"/>
        </w:rPr>
        <w:t>三、商务要求</w:t>
      </w:r>
    </w:p>
    <w:p w14:paraId="5F871490">
      <w:pPr>
        <w:pStyle w:val="27"/>
        <w:spacing w:after="156" w:line="560" w:lineRule="exact"/>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（一）违约责任</w:t>
      </w:r>
    </w:p>
    <w:p w14:paraId="215981A1">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合同签订后，合同约定的服务期限起算日起中标人应提供至少50个坐席岗位人员上线服务，如未达要求，每逾期一日，中标人应向采购人支付合同总价款的千分之一作为违约金，若逾期超过十五日，采购人有权单方面解除合同，并要求中标人支付合同总金额的20%作为违约金，违约金不足以弥足采购人损失的，中标人应当予以补足。</w:t>
      </w:r>
    </w:p>
    <w:p w14:paraId="4F3DF52E">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2.中标人在当期考核指标总得分低于80分时，采购人有权要求中标人查找原因并于采购人通知的一个月期限内整改，逾期未整改的或整改一次后仍不能符合要求的，采购人有权单方面解除合同，中标人应支付合同总金额的20%作为违约金，违约金不足以弥足采购人损失的，中标人应当予以补足。</w:t>
      </w:r>
    </w:p>
    <w:p w14:paraId="68A36984">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3.中标人未履行合同约定及投标承诺，影响采购人正常运行的，采购人有权要求中标人在指定期限内整改，中标人逾期未整改的，每逾期一日，按照合同总价的千分之一支付违约金并赔偿采购人因此受到的损失；逾期超过十五日，采购人有权单方面解除合同，并要求中标人支付合同总金额的10%作为违约金，违约金不足以弥足采购人损失的，中标人应当予以补足。</w:t>
      </w:r>
    </w:p>
    <w:p w14:paraId="36C8C4A9">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中标人服务人员违反采购人的保密制度和安全管理制度，采购人有权要求中标人立即撤换有关服务人员，中标人应将对泄密人员的处理意见于三个工作日内报采购人，对于由此给采购人及纳税人缴费人造成利益损害的，中标人应承担相关法律责任，每出现一次上述违约，中标人应按照合同总金额的5%支付违约金并赔偿采购人因此受到的损失。</w:t>
      </w:r>
    </w:p>
    <w:p w14:paraId="3F8CABE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5.中标人发生信息安全事故，如信息泄露、数据丢失、数据篡改等，每发生一次中标人须向采购人支付当年合同款金额的5%作为违约金；造成严重后果的（包括但不限于发生重大投诉或舆情事件给采购人造成名誉或经济损失），采购人有权终止合同并追究中标人相关法律责任。</w:t>
      </w:r>
    </w:p>
    <w:p w14:paraId="1EF3A7BC">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6.中标人对经采购人考核不达标的及发生重大投诉或舆情事件给采购人造成名誉或经济损失的人员，应按照采购人的要求予以处理，未按照采购人要求处理的，采购人除有权选择解除合同外，中标人还应按照合同总金额的5%向采购人支付违约金，并根据损失情况进行赔偿。</w:t>
      </w:r>
    </w:p>
    <w:p w14:paraId="0E03E350">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7.中标人丧失服务资质的，采购人有权立即与中标人解除合同，中标人应返还未履行期间的服务费，并按合同总额的10%向采购人支付违约金，因此给采购人造成损失，中标人应承担赔偿责任。</w:t>
      </w:r>
    </w:p>
    <w:p w14:paraId="6859093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8.除本合同另有约定外，任何一方不得无故解除合同，违约方应承担由此造成的损失并向守约方支付合同总金额10%的违约金。</w:t>
      </w:r>
    </w:p>
    <w:p w14:paraId="263387CE">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9.如遇政府或上级主管部门政策变更等情况，导致本项目合同内容发生重大变化的，将根据新的政策规定进行相应调整或终止，双方不因此承担违约责任。</w:t>
      </w:r>
    </w:p>
    <w:p w14:paraId="1BC978D8">
      <w:pPr>
        <w:pStyle w:val="33"/>
        <w:spacing w:line="560" w:lineRule="exact"/>
        <w:rPr>
          <w:rFonts w:ascii="宋体" w:hAnsi="宋体" w:cs="宋体"/>
          <w:snapToGrid w:val="0"/>
          <w:color w:val="auto"/>
          <w:sz w:val="21"/>
          <w:szCs w:val="21"/>
          <w:highlight w:val="none"/>
          <w:lang w:val="en-US" w:eastAsia="zh-CN"/>
        </w:rPr>
      </w:pPr>
      <w:bookmarkStart w:id="54" w:name="_Hlk193232922"/>
      <w:r>
        <w:rPr>
          <w:rFonts w:hint="eastAsia" w:ascii="宋体" w:hAnsi="宋体" w:cs="宋体"/>
          <w:snapToGrid w:val="0"/>
          <w:color w:val="auto"/>
          <w:sz w:val="21"/>
          <w:szCs w:val="21"/>
          <w:highlight w:val="none"/>
          <w:lang w:val="en-US" w:eastAsia="zh-CN"/>
        </w:rPr>
        <w:t>10.违约方除承担上述违约责任外，还应当承担守约方为主张权利而支出的诉讼费、律师费、公告费、保全费、保全保险费、鉴定费等合理费用。</w:t>
      </w:r>
    </w:p>
    <w:p w14:paraId="553B1522">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11.前述违约金采购人均有权直接从未支付的款项中予以扣除。</w:t>
      </w:r>
    </w:p>
    <w:bookmarkEnd w:id="54"/>
    <w:p w14:paraId="1088BA22">
      <w:pPr>
        <w:pStyle w:val="27"/>
        <w:spacing w:after="156" w:line="560" w:lineRule="exact"/>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（二）验收要求</w:t>
      </w:r>
    </w:p>
    <w:p w14:paraId="5939674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1.考核指标</w:t>
      </w:r>
    </w:p>
    <w:p w14:paraId="274136EF">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采购人将围绕12366畅通率、咨询即时答复率、服务满意率、解答质量、业务培训、业务测试通过率、服务投诉、员工稳定性等指标，按季对中标人进行考核，如福建省税务局、市政府等上级部门对采购人的工作要求发生变化的，考核内容和要求将结合采购人实际工作情况予以调整。</w:t>
      </w:r>
    </w:p>
    <w:p w14:paraId="0AD8E4B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①12366畅通率。由当季人工接通率和当季平均等待时长组成，人工接通率是指当季人工接听量与转接人工量的比率；平均等待时长是指当季人工接听的总等待时长与当季人工接听量的比，其中热线等待时长是指纳税人缴费人选择转人工后至自动语音播报坐席工号前的时长，在线等待时长是指接通的在线咨询排队总时长，算平均等待时长时需除以咨询接通量。</w:t>
      </w:r>
    </w:p>
    <w:p w14:paraId="6FB19BF5">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②咨询即时答复率。指当季12366坐席当场答复纳税人缴费人并办结的比率；咨询类总量是指当季业务类别为咨询的人工语音服务量；直接办结数量是指当季咨询类总量中小结类型选择直接办结的数量。</w:t>
      </w:r>
    </w:p>
    <w:p w14:paraId="3C194783">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③服务满意率。由当季“好差评”推送率和当季答复好评率组成，“好差评”推送率是指当季热线推送“好差评”评价的数量与人工接听及外呼的业务记录数量的比率；答复好评率是指当季热线纳税人缴费人“好评”的数量与热线推送“好差评”评价的数量的比率。</w:t>
      </w:r>
    </w:p>
    <w:p w14:paraId="21A5DA76">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④解答质量。由国家税务总局拨测得分、福建省税务局拨测得分和日常质检考核得分组成，总局拨测得分以税务总局通报为准；省局拨测得分以当季省局质量监控（形式不限）测评得分为准；日常质检考核得分包括咨询答复情况得分、服务规范性得分和小结规范性得分。</w:t>
      </w:r>
    </w:p>
    <w:p w14:paraId="1AFED43C">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⑤业务培训。中标人负责对坐席人员开展培训，要求一个月开展不少于4次专项培训（专项培训指的是根据各阶段工作重点，按要求组织各类业务专题培训），不少于4次分组培训（分组培训指的是根据各阶段工作重点，分时段组织坐席人员开展分组学习，其中4次分组培训中不少于2次服务规范培训），且每月制定培训方案和情况记录。</w:t>
      </w:r>
    </w:p>
    <w:p w14:paraId="750611B8">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⑥业务测试通过率。指通过业务测试的坐席人数占应参加业务测试坐席总数的比例，主要考评坐席人员是否掌握应知应会的税（费）知识。其中老坐席是指上线时间达到6个月(含本数）的坐席，新坐席是指上线时间未达6个月的坐席。业务测试按月组织。</w:t>
      </w:r>
    </w:p>
    <w:p w14:paraId="65D8A9E7">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⑦服务投诉。指纳税人缴费人当季通过各类渠道对话务坐席服务质量的投诉，经调查属实的。若当季存在投诉属实且造成严重后果或恶劣影响的该指标不得分，严重后果及恶劣影响由采购人根据实际情况予以评估。</w:t>
      </w:r>
    </w:p>
    <w:p w14:paraId="7AAD7797">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⑧员工稳定性。统计每季度员工离职的人数，以每季度离职人员的数量考核人员的稳定性。员工离职数不包括以下人员：内部岗位调动人员；岗前培训期或试用期离职人员；采购需求“服务人员要求 第四条第四款”要求撤换的人员；中标人根据其员工管理办法对不符合工作要求主动予以劝退（开除）的人员。</w:t>
      </w:r>
    </w:p>
    <w:p w14:paraId="4D21019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2.考核标准</w:t>
      </w:r>
    </w:p>
    <w:p w14:paraId="4528431A">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中标人达到服务质效考核标准的，该项指标得满分。未达到考核标准</w:t>
      </w:r>
      <w:bookmarkStart w:id="55" w:name="_Hlk193232957"/>
      <w:r>
        <w:rPr>
          <w:rFonts w:hint="eastAsia" w:ascii="宋体" w:hAnsi="宋体" w:cs="宋体"/>
          <w:snapToGrid w:val="0"/>
          <w:color w:val="auto"/>
          <w:sz w:val="21"/>
          <w:szCs w:val="21"/>
          <w:highlight w:val="none"/>
          <w:lang w:val="en-US" w:eastAsia="zh-CN"/>
        </w:rPr>
        <w:t>，考核分值低于80分</w:t>
      </w:r>
      <w:bookmarkEnd w:id="55"/>
      <w:r>
        <w:rPr>
          <w:rFonts w:hint="eastAsia" w:ascii="宋体" w:hAnsi="宋体" w:cs="宋体"/>
          <w:snapToGrid w:val="0"/>
          <w:color w:val="auto"/>
          <w:sz w:val="21"/>
          <w:szCs w:val="21"/>
          <w:highlight w:val="none"/>
          <w:lang w:val="en-US" w:eastAsia="zh-CN"/>
        </w:rPr>
        <w:t>的</w:t>
      </w:r>
      <w:bookmarkStart w:id="56" w:name="_Hlk193232963"/>
      <w:r>
        <w:rPr>
          <w:rFonts w:hint="eastAsia" w:ascii="宋体" w:hAnsi="宋体" w:cs="宋体"/>
          <w:snapToGrid w:val="0"/>
          <w:color w:val="auto"/>
          <w:sz w:val="21"/>
          <w:szCs w:val="21"/>
          <w:highlight w:val="none"/>
          <w:lang w:val="en-US" w:eastAsia="zh-CN"/>
        </w:rPr>
        <w:t>，视为验收不合格</w:t>
      </w:r>
      <w:bookmarkEnd w:id="56"/>
      <w:r>
        <w:rPr>
          <w:rFonts w:hint="eastAsia" w:ascii="宋体" w:hAnsi="宋体" w:cs="宋体"/>
          <w:snapToGrid w:val="0"/>
          <w:color w:val="auto"/>
          <w:sz w:val="21"/>
          <w:szCs w:val="21"/>
          <w:highlight w:val="none"/>
          <w:lang w:val="en-US" w:eastAsia="zh-CN"/>
        </w:rPr>
        <w:t>。得分细则见下表。</w:t>
      </w:r>
    </w:p>
    <w:tbl>
      <w:tblPr>
        <w:tblStyle w:val="18"/>
        <w:tblW w:w="9645" w:type="dxa"/>
        <w:tblInd w:w="-321" w:type="dxa"/>
        <w:tblLayout w:type="fixed"/>
        <w:tblCellMar>
          <w:top w:w="0" w:type="dxa"/>
          <w:left w:w="108" w:type="dxa"/>
          <w:bottom w:w="0" w:type="dxa"/>
          <w:right w:w="108" w:type="dxa"/>
        </w:tblCellMar>
      </w:tblPr>
      <w:tblGrid>
        <w:gridCol w:w="825"/>
        <w:gridCol w:w="825"/>
        <w:gridCol w:w="2760"/>
        <w:gridCol w:w="2445"/>
        <w:gridCol w:w="2790"/>
      </w:tblGrid>
      <w:tr w14:paraId="5450258E">
        <w:tblPrEx>
          <w:tblCellMar>
            <w:top w:w="0" w:type="dxa"/>
            <w:left w:w="108" w:type="dxa"/>
            <w:bottom w:w="0" w:type="dxa"/>
            <w:right w:w="108" w:type="dxa"/>
          </w:tblCellMar>
        </w:tblPrEx>
        <w:trPr>
          <w:trHeight w:val="570" w:hRule="atLeast"/>
        </w:trPr>
        <w:tc>
          <w:tcPr>
            <w:tcW w:w="825" w:type="dxa"/>
            <w:tcBorders>
              <w:top w:val="single" w:color="auto" w:sz="4" w:space="0"/>
              <w:left w:val="single" w:color="auto" w:sz="4" w:space="0"/>
              <w:bottom w:val="single" w:color="auto" w:sz="4" w:space="0"/>
              <w:right w:val="single" w:color="auto" w:sz="4" w:space="0"/>
            </w:tcBorders>
            <w:vAlign w:val="center"/>
          </w:tcPr>
          <w:p w14:paraId="67A432D8">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指标名称</w:t>
            </w:r>
          </w:p>
        </w:tc>
        <w:tc>
          <w:tcPr>
            <w:tcW w:w="825" w:type="dxa"/>
            <w:tcBorders>
              <w:top w:val="single" w:color="auto" w:sz="4" w:space="0"/>
              <w:left w:val="nil"/>
              <w:bottom w:val="single" w:color="auto" w:sz="4" w:space="0"/>
              <w:right w:val="single" w:color="auto" w:sz="4" w:space="0"/>
            </w:tcBorders>
            <w:vAlign w:val="center"/>
          </w:tcPr>
          <w:p w14:paraId="4B7B198D">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2760" w:type="dxa"/>
            <w:tcBorders>
              <w:top w:val="single" w:color="auto" w:sz="4" w:space="0"/>
              <w:left w:val="nil"/>
              <w:bottom w:val="single" w:color="auto" w:sz="4" w:space="0"/>
              <w:right w:val="single" w:color="auto" w:sz="4" w:space="0"/>
            </w:tcBorders>
            <w:vAlign w:val="center"/>
          </w:tcPr>
          <w:p w14:paraId="3361E26F">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计算方法</w:t>
            </w:r>
          </w:p>
        </w:tc>
        <w:tc>
          <w:tcPr>
            <w:tcW w:w="2445" w:type="dxa"/>
            <w:tcBorders>
              <w:top w:val="single" w:color="auto" w:sz="4" w:space="0"/>
              <w:left w:val="nil"/>
              <w:bottom w:val="single" w:color="auto" w:sz="4" w:space="0"/>
              <w:right w:val="single" w:color="auto" w:sz="4" w:space="0"/>
            </w:tcBorders>
            <w:vAlign w:val="center"/>
          </w:tcPr>
          <w:p w14:paraId="236939D8">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目标区间值</w:t>
            </w:r>
          </w:p>
        </w:tc>
        <w:tc>
          <w:tcPr>
            <w:tcW w:w="2790" w:type="dxa"/>
            <w:tcBorders>
              <w:top w:val="single" w:color="auto" w:sz="4" w:space="0"/>
              <w:left w:val="nil"/>
              <w:bottom w:val="single" w:color="auto" w:sz="4" w:space="0"/>
              <w:right w:val="single" w:color="auto" w:sz="4" w:space="0"/>
            </w:tcBorders>
            <w:vAlign w:val="center"/>
          </w:tcPr>
          <w:p w14:paraId="683FA54D">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考核细则</w:t>
            </w:r>
          </w:p>
        </w:tc>
      </w:tr>
      <w:tr w14:paraId="4AC9FAF9">
        <w:tblPrEx>
          <w:tblCellMar>
            <w:top w:w="0" w:type="dxa"/>
            <w:left w:w="108" w:type="dxa"/>
            <w:bottom w:w="0" w:type="dxa"/>
            <w:right w:w="108" w:type="dxa"/>
          </w:tblCellMar>
        </w:tblPrEx>
        <w:trPr>
          <w:trHeight w:val="1425" w:hRule="atLeast"/>
        </w:trPr>
        <w:tc>
          <w:tcPr>
            <w:tcW w:w="825" w:type="dxa"/>
            <w:vMerge w:val="restart"/>
            <w:tcBorders>
              <w:top w:val="nil"/>
              <w:left w:val="single" w:color="auto" w:sz="4" w:space="0"/>
              <w:right w:val="single" w:color="auto" w:sz="4" w:space="0"/>
            </w:tcBorders>
            <w:vAlign w:val="center"/>
          </w:tcPr>
          <w:p w14:paraId="556EDEB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12366畅通率</w:t>
            </w:r>
          </w:p>
          <w:p w14:paraId="3D015DEB">
            <w:pPr>
              <w:snapToGrid w:val="0"/>
              <w:spacing w:line="360" w:lineRule="auto"/>
              <w:jc w:val="center"/>
              <w:rPr>
                <w:rFonts w:hint="eastAsia" w:ascii="宋体" w:hAnsi="宋体" w:cs="宋体"/>
                <w:color w:val="auto"/>
                <w:szCs w:val="21"/>
                <w:highlight w:val="none"/>
              </w:rPr>
            </w:pPr>
          </w:p>
        </w:tc>
        <w:tc>
          <w:tcPr>
            <w:tcW w:w="825" w:type="dxa"/>
            <w:tcBorders>
              <w:top w:val="nil"/>
              <w:left w:val="nil"/>
              <w:bottom w:val="single" w:color="auto" w:sz="4" w:space="0"/>
              <w:right w:val="single" w:color="auto" w:sz="4" w:space="0"/>
            </w:tcBorders>
            <w:vAlign w:val="center"/>
          </w:tcPr>
          <w:p w14:paraId="1E3A300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760" w:type="dxa"/>
            <w:tcBorders>
              <w:top w:val="nil"/>
              <w:left w:val="nil"/>
              <w:bottom w:val="single" w:color="auto" w:sz="4" w:space="0"/>
              <w:right w:val="single" w:color="auto" w:sz="4" w:space="0"/>
            </w:tcBorders>
            <w:vAlign w:val="center"/>
          </w:tcPr>
          <w:p w14:paraId="0B6BE39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人工接通率= 12366热线人工接听量÷12366热线转接人工量*100%</w:t>
            </w:r>
          </w:p>
        </w:tc>
        <w:tc>
          <w:tcPr>
            <w:tcW w:w="2445" w:type="dxa"/>
            <w:tcBorders>
              <w:top w:val="nil"/>
              <w:left w:val="nil"/>
              <w:bottom w:val="single" w:color="auto" w:sz="4" w:space="0"/>
              <w:right w:val="single" w:color="auto" w:sz="4" w:space="0"/>
            </w:tcBorders>
            <w:vAlign w:val="center"/>
          </w:tcPr>
          <w:p w14:paraId="5DB20F9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人工接通率高于96%（含）</w:t>
            </w:r>
          </w:p>
        </w:tc>
        <w:tc>
          <w:tcPr>
            <w:tcW w:w="2790" w:type="dxa"/>
            <w:tcBorders>
              <w:top w:val="nil"/>
              <w:left w:val="nil"/>
              <w:bottom w:val="single" w:color="auto" w:sz="4" w:space="0"/>
              <w:right w:val="single" w:color="auto" w:sz="4" w:space="0"/>
            </w:tcBorders>
            <w:vAlign w:val="center"/>
          </w:tcPr>
          <w:p w14:paraId="2165E1D8">
            <w:pPr>
              <w:numPr>
                <w:ilvl w:val="0"/>
                <w:numId w:val="2"/>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季度人工接通率较目标值每下降 1%扣1分；</w:t>
            </w:r>
          </w:p>
          <w:p w14:paraId="5A6977FD">
            <w:pPr>
              <w:numPr>
                <w:ilvl w:val="0"/>
                <w:numId w:val="2"/>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除采购人原因及不可抗力外，出现工作日日接通率低于90%（含）以下，每出现1次扣1分； </w:t>
            </w:r>
          </w:p>
          <w:p w14:paraId="240EB971">
            <w:pPr>
              <w:numPr>
                <w:ilvl w:val="0"/>
                <w:numId w:val="2"/>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每月如因中标人排班不合理造成工作日日接通率低于96%超3次，每增加1次，该指标扣1分。</w:t>
            </w:r>
          </w:p>
          <w:p w14:paraId="0AB3502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第2、3项不叠加扣分，以上扣完为止。</w:t>
            </w:r>
          </w:p>
        </w:tc>
      </w:tr>
      <w:tr w14:paraId="7069AEC1">
        <w:tblPrEx>
          <w:tblCellMar>
            <w:top w:w="0" w:type="dxa"/>
            <w:left w:w="108" w:type="dxa"/>
            <w:bottom w:w="0" w:type="dxa"/>
            <w:right w:w="108" w:type="dxa"/>
          </w:tblCellMar>
        </w:tblPrEx>
        <w:trPr>
          <w:trHeight w:val="855" w:hRule="atLeast"/>
        </w:trPr>
        <w:tc>
          <w:tcPr>
            <w:tcW w:w="825" w:type="dxa"/>
            <w:vMerge w:val="continue"/>
            <w:tcBorders>
              <w:left w:val="single" w:color="auto" w:sz="4" w:space="0"/>
              <w:bottom w:val="single" w:color="auto" w:sz="4" w:space="0"/>
              <w:right w:val="single" w:color="auto" w:sz="4" w:space="0"/>
            </w:tcBorders>
            <w:vAlign w:val="center"/>
          </w:tcPr>
          <w:p w14:paraId="1CA63347">
            <w:pPr>
              <w:snapToGrid w:val="0"/>
              <w:spacing w:line="360" w:lineRule="auto"/>
              <w:jc w:val="center"/>
              <w:rPr>
                <w:rFonts w:hint="eastAsia" w:ascii="宋体" w:hAnsi="宋体" w:cs="宋体"/>
                <w:color w:val="auto"/>
                <w:szCs w:val="21"/>
                <w:highlight w:val="none"/>
              </w:rPr>
            </w:pPr>
          </w:p>
        </w:tc>
        <w:tc>
          <w:tcPr>
            <w:tcW w:w="825" w:type="dxa"/>
            <w:tcBorders>
              <w:top w:val="nil"/>
              <w:left w:val="nil"/>
              <w:bottom w:val="single" w:color="auto" w:sz="4" w:space="0"/>
              <w:right w:val="single" w:color="auto" w:sz="4" w:space="0"/>
            </w:tcBorders>
            <w:vAlign w:val="center"/>
          </w:tcPr>
          <w:p w14:paraId="1D81C2B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760" w:type="dxa"/>
            <w:tcBorders>
              <w:top w:val="nil"/>
              <w:left w:val="nil"/>
              <w:bottom w:val="single" w:color="auto" w:sz="4" w:space="0"/>
              <w:right w:val="single" w:color="auto" w:sz="4" w:space="0"/>
            </w:tcBorders>
            <w:vAlign w:val="center"/>
          </w:tcPr>
          <w:p w14:paraId="6A7FF0D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平均等待时长=人工接听的总等待时长/人工接听量</w:t>
            </w:r>
          </w:p>
        </w:tc>
        <w:tc>
          <w:tcPr>
            <w:tcW w:w="2445" w:type="dxa"/>
            <w:tcBorders>
              <w:top w:val="nil"/>
              <w:left w:val="nil"/>
              <w:bottom w:val="single" w:color="auto" w:sz="4" w:space="0"/>
              <w:right w:val="single" w:color="auto" w:sz="4" w:space="0"/>
            </w:tcBorders>
            <w:vAlign w:val="center"/>
          </w:tcPr>
          <w:p w14:paraId="0275F5A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平均等待时长不超过30秒</w:t>
            </w:r>
          </w:p>
        </w:tc>
        <w:tc>
          <w:tcPr>
            <w:tcW w:w="2790" w:type="dxa"/>
            <w:tcBorders>
              <w:top w:val="nil"/>
              <w:left w:val="nil"/>
              <w:bottom w:val="single" w:color="auto" w:sz="4" w:space="0"/>
              <w:right w:val="single" w:color="auto" w:sz="4" w:space="0"/>
            </w:tcBorders>
            <w:vAlign w:val="center"/>
          </w:tcPr>
          <w:p w14:paraId="4921E4D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平均等待时长较目标值每超过1 秒扣 1 分。扣完为止。</w:t>
            </w:r>
          </w:p>
        </w:tc>
      </w:tr>
      <w:tr w14:paraId="6BF8BF44">
        <w:tblPrEx>
          <w:tblCellMar>
            <w:top w:w="0" w:type="dxa"/>
            <w:left w:w="108" w:type="dxa"/>
            <w:bottom w:w="0" w:type="dxa"/>
            <w:right w:w="108" w:type="dxa"/>
          </w:tblCellMar>
        </w:tblPrEx>
        <w:trPr>
          <w:trHeight w:val="855" w:hRule="atLeast"/>
        </w:trPr>
        <w:tc>
          <w:tcPr>
            <w:tcW w:w="825" w:type="dxa"/>
            <w:tcBorders>
              <w:top w:val="nil"/>
              <w:left w:val="single" w:color="auto" w:sz="4" w:space="0"/>
              <w:bottom w:val="single" w:color="auto" w:sz="4" w:space="0"/>
              <w:right w:val="single" w:color="auto" w:sz="4" w:space="0"/>
            </w:tcBorders>
            <w:vAlign w:val="center"/>
          </w:tcPr>
          <w:p w14:paraId="35640BE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咨询即时答复率</w:t>
            </w:r>
          </w:p>
        </w:tc>
        <w:tc>
          <w:tcPr>
            <w:tcW w:w="825" w:type="dxa"/>
            <w:tcBorders>
              <w:top w:val="nil"/>
              <w:left w:val="nil"/>
              <w:bottom w:val="single" w:color="auto" w:sz="4" w:space="0"/>
              <w:right w:val="single" w:color="auto" w:sz="4" w:space="0"/>
            </w:tcBorders>
            <w:vAlign w:val="center"/>
          </w:tcPr>
          <w:p w14:paraId="78F250B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760" w:type="dxa"/>
            <w:tcBorders>
              <w:top w:val="nil"/>
              <w:left w:val="nil"/>
              <w:bottom w:val="single" w:color="auto" w:sz="4" w:space="0"/>
              <w:right w:val="single" w:color="auto" w:sz="4" w:space="0"/>
            </w:tcBorders>
            <w:vAlign w:val="center"/>
          </w:tcPr>
          <w:p w14:paraId="1D8DF1C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咨询即时答复率=（热线人工语音服务量中咨询类直接办结数量/热线人工语音服务量中咨询类总量）*100%</w:t>
            </w:r>
          </w:p>
        </w:tc>
        <w:tc>
          <w:tcPr>
            <w:tcW w:w="2445" w:type="dxa"/>
            <w:tcBorders>
              <w:top w:val="nil"/>
              <w:left w:val="nil"/>
              <w:bottom w:val="single" w:color="auto" w:sz="4" w:space="0"/>
              <w:right w:val="single" w:color="auto" w:sz="4" w:space="0"/>
            </w:tcBorders>
            <w:vAlign w:val="center"/>
          </w:tcPr>
          <w:p w14:paraId="0631FF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咨询即时答复率高于90%（含）</w:t>
            </w:r>
          </w:p>
        </w:tc>
        <w:tc>
          <w:tcPr>
            <w:tcW w:w="2790" w:type="dxa"/>
            <w:tcBorders>
              <w:top w:val="nil"/>
              <w:left w:val="nil"/>
              <w:bottom w:val="single" w:color="auto" w:sz="4" w:space="0"/>
              <w:right w:val="single" w:color="auto" w:sz="4" w:space="0"/>
            </w:tcBorders>
            <w:vAlign w:val="center"/>
          </w:tcPr>
          <w:p w14:paraId="0AF87AE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咨询即时答复率较目标值每下降1%，该指标分值扣1分。扣完为止。</w:t>
            </w:r>
          </w:p>
        </w:tc>
      </w:tr>
      <w:tr w14:paraId="5AA809DE">
        <w:tblPrEx>
          <w:tblCellMar>
            <w:top w:w="0" w:type="dxa"/>
            <w:left w:w="108" w:type="dxa"/>
            <w:bottom w:w="0" w:type="dxa"/>
            <w:right w:w="108" w:type="dxa"/>
          </w:tblCellMar>
        </w:tblPrEx>
        <w:trPr>
          <w:trHeight w:val="1710" w:hRule="atLeast"/>
        </w:trPr>
        <w:tc>
          <w:tcPr>
            <w:tcW w:w="825" w:type="dxa"/>
            <w:tcBorders>
              <w:top w:val="single" w:color="auto" w:sz="4" w:space="0"/>
              <w:left w:val="single" w:color="auto" w:sz="4" w:space="0"/>
              <w:bottom w:val="single" w:color="auto" w:sz="4" w:space="0"/>
              <w:right w:val="single" w:color="auto" w:sz="4" w:space="0"/>
            </w:tcBorders>
            <w:vAlign w:val="center"/>
          </w:tcPr>
          <w:p w14:paraId="118E261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服务满意率</w:t>
            </w:r>
          </w:p>
        </w:tc>
        <w:tc>
          <w:tcPr>
            <w:tcW w:w="825" w:type="dxa"/>
            <w:tcBorders>
              <w:top w:val="single" w:color="auto" w:sz="4" w:space="0"/>
              <w:left w:val="single" w:color="auto" w:sz="4" w:space="0"/>
              <w:bottom w:val="single" w:color="auto" w:sz="4" w:space="0"/>
              <w:right w:val="single" w:color="auto" w:sz="4" w:space="0"/>
            </w:tcBorders>
            <w:vAlign w:val="center"/>
          </w:tcPr>
          <w:p w14:paraId="7D21807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760" w:type="dxa"/>
            <w:tcBorders>
              <w:top w:val="single" w:color="auto" w:sz="4" w:space="0"/>
              <w:left w:val="single" w:color="auto" w:sz="4" w:space="0"/>
              <w:bottom w:val="single" w:color="auto" w:sz="4" w:space="0"/>
              <w:right w:val="single" w:color="auto" w:sz="4" w:space="0"/>
            </w:tcBorders>
            <w:vAlign w:val="center"/>
          </w:tcPr>
          <w:p w14:paraId="4F3C3A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“好差评”推送率=（12366热线推送好差评评价的数量/人工接听及外呼的业务记录数量） *100%               </w:t>
            </w:r>
          </w:p>
          <w:p w14:paraId="46CBE8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答复好评率=（12366热线纳税人缴费人评价为满意的数量÷12366热线推送好差评评价的数量）*100%</w:t>
            </w:r>
          </w:p>
        </w:tc>
        <w:tc>
          <w:tcPr>
            <w:tcW w:w="2445" w:type="dxa"/>
            <w:tcBorders>
              <w:top w:val="single" w:color="auto" w:sz="4" w:space="0"/>
              <w:left w:val="single" w:color="auto" w:sz="4" w:space="0"/>
              <w:bottom w:val="single" w:color="auto" w:sz="4" w:space="0"/>
              <w:right w:val="single" w:color="auto" w:sz="4" w:space="0"/>
            </w:tcBorders>
            <w:noWrap/>
            <w:vAlign w:val="center"/>
          </w:tcPr>
          <w:p w14:paraId="7D3B159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“好差评”推送率达全省热线当考核期平均值，答复好评率达到99%（含）以上</w:t>
            </w:r>
          </w:p>
        </w:tc>
        <w:tc>
          <w:tcPr>
            <w:tcW w:w="2790" w:type="dxa"/>
            <w:tcBorders>
              <w:top w:val="single" w:color="auto" w:sz="4" w:space="0"/>
              <w:left w:val="single" w:color="auto" w:sz="4" w:space="0"/>
              <w:bottom w:val="single" w:color="auto" w:sz="4" w:space="0"/>
              <w:right w:val="single" w:color="auto" w:sz="4" w:space="0"/>
            </w:tcBorders>
            <w:vAlign w:val="center"/>
          </w:tcPr>
          <w:p w14:paraId="5AD931D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好差评推送率较目标值每下降2%扣1分；答复好评率较目标值每下降 1%扣 1 分。扣完为止。</w:t>
            </w:r>
          </w:p>
        </w:tc>
      </w:tr>
      <w:tr w14:paraId="1EDFD3A6">
        <w:tblPrEx>
          <w:tblCellMar>
            <w:top w:w="0" w:type="dxa"/>
            <w:left w:w="108" w:type="dxa"/>
            <w:bottom w:w="0" w:type="dxa"/>
            <w:right w:w="108" w:type="dxa"/>
          </w:tblCellMar>
        </w:tblPrEx>
        <w:trPr>
          <w:trHeight w:val="855" w:hRule="atLeast"/>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B8950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解答质量</w:t>
            </w:r>
          </w:p>
        </w:tc>
        <w:tc>
          <w:tcPr>
            <w:tcW w:w="825" w:type="dxa"/>
            <w:tcBorders>
              <w:top w:val="single" w:color="auto" w:sz="4" w:space="0"/>
              <w:left w:val="single" w:color="auto" w:sz="4" w:space="0"/>
              <w:bottom w:val="single" w:color="auto" w:sz="4" w:space="0"/>
              <w:right w:val="single" w:color="auto" w:sz="4" w:space="0"/>
            </w:tcBorders>
            <w:vAlign w:val="center"/>
          </w:tcPr>
          <w:p w14:paraId="1C8F6F8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760" w:type="dxa"/>
            <w:tcBorders>
              <w:top w:val="single" w:color="auto" w:sz="4" w:space="0"/>
              <w:left w:val="single" w:color="auto" w:sz="4" w:space="0"/>
              <w:bottom w:val="single" w:color="auto" w:sz="4" w:space="0"/>
              <w:right w:val="single" w:color="auto" w:sz="4" w:space="0"/>
            </w:tcBorders>
            <w:vAlign w:val="center"/>
          </w:tcPr>
          <w:p w14:paraId="227170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总局、省局拨测得分=咨询答复准确率得分*40%+服务规范性得分*30%+小结规范性得分*30%</w:t>
            </w:r>
          </w:p>
          <w:p w14:paraId="77997E97">
            <w:pPr>
              <w:snapToGrid w:val="0"/>
              <w:spacing w:line="360" w:lineRule="auto"/>
              <w:rPr>
                <w:rFonts w:hint="eastAsia" w:ascii="宋体" w:hAnsi="宋体" w:cs="宋体"/>
                <w:color w:val="auto"/>
                <w:szCs w:val="21"/>
                <w:highlight w:val="none"/>
              </w:rPr>
            </w:pPr>
          </w:p>
        </w:tc>
        <w:tc>
          <w:tcPr>
            <w:tcW w:w="2445" w:type="dxa"/>
            <w:vMerge w:val="restart"/>
            <w:tcBorders>
              <w:top w:val="single" w:color="auto" w:sz="4" w:space="0"/>
              <w:left w:val="single" w:color="auto" w:sz="4" w:space="0"/>
              <w:bottom w:val="single" w:color="auto" w:sz="4" w:space="0"/>
              <w:right w:val="single" w:color="auto" w:sz="4" w:space="0"/>
            </w:tcBorders>
            <w:vAlign w:val="center"/>
          </w:tcPr>
          <w:p w14:paraId="0891574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得分高于90分（含）以上</w:t>
            </w:r>
          </w:p>
        </w:tc>
        <w:tc>
          <w:tcPr>
            <w:tcW w:w="2790" w:type="dxa"/>
            <w:tcBorders>
              <w:top w:val="single" w:color="auto" w:sz="4" w:space="0"/>
              <w:left w:val="single" w:color="auto" w:sz="4" w:space="0"/>
              <w:bottom w:val="single" w:color="auto" w:sz="4" w:space="0"/>
              <w:right w:val="single" w:color="auto" w:sz="4" w:space="0"/>
            </w:tcBorders>
            <w:vAlign w:val="center"/>
          </w:tcPr>
          <w:p w14:paraId="1CFC839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总局、省局拨测平均得分低于90分的，该指标不得分。</w:t>
            </w:r>
          </w:p>
        </w:tc>
      </w:tr>
      <w:tr w14:paraId="6E92E31C">
        <w:tblPrEx>
          <w:tblCellMar>
            <w:top w:w="0" w:type="dxa"/>
            <w:left w:w="108" w:type="dxa"/>
            <w:bottom w:w="0" w:type="dxa"/>
            <w:right w:w="108" w:type="dxa"/>
          </w:tblCellMar>
        </w:tblPrEx>
        <w:trPr>
          <w:trHeight w:val="855"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03ADB21">
            <w:pPr>
              <w:snapToGrid w:val="0"/>
              <w:spacing w:line="360" w:lineRule="auto"/>
              <w:jc w:val="center"/>
              <w:rPr>
                <w:rFonts w:hint="eastAsia" w:ascii="宋体" w:hAnsi="宋体" w:cs="宋体"/>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7F05008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2760" w:type="dxa"/>
            <w:tcBorders>
              <w:top w:val="single" w:color="auto" w:sz="4" w:space="0"/>
              <w:left w:val="single" w:color="auto" w:sz="4" w:space="0"/>
              <w:bottom w:val="single" w:color="auto" w:sz="4" w:space="0"/>
              <w:right w:val="single" w:color="auto" w:sz="4" w:space="0"/>
            </w:tcBorders>
            <w:vAlign w:val="center"/>
          </w:tcPr>
          <w:p w14:paraId="3F66A1B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日常质检考核得分=咨询答复准确率得分*40%+服务规范性得分*30%+小结规范性得分*30%</w:t>
            </w:r>
          </w:p>
          <w:p w14:paraId="2F517F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（含上级及本级质检，总局省局拨测录音不参与此项考核）</w:t>
            </w:r>
          </w:p>
        </w:tc>
        <w:tc>
          <w:tcPr>
            <w:tcW w:w="2445" w:type="dxa"/>
            <w:vMerge w:val="continue"/>
            <w:tcBorders>
              <w:top w:val="single" w:color="auto" w:sz="4" w:space="0"/>
              <w:left w:val="single" w:color="auto" w:sz="4" w:space="0"/>
              <w:bottom w:val="single" w:color="auto" w:sz="4" w:space="0"/>
              <w:right w:val="single" w:color="auto" w:sz="4" w:space="0"/>
            </w:tcBorders>
            <w:vAlign w:val="center"/>
          </w:tcPr>
          <w:p w14:paraId="047E44A7">
            <w:pPr>
              <w:snapToGrid w:val="0"/>
              <w:spacing w:line="360" w:lineRule="auto"/>
              <w:rPr>
                <w:rFonts w:hint="eastAsia" w:ascii="宋体" w:hAnsi="宋体" w:cs="宋体"/>
                <w:color w:val="auto"/>
                <w:szCs w:val="21"/>
                <w:highlight w:val="none"/>
              </w:rPr>
            </w:pPr>
          </w:p>
        </w:tc>
        <w:tc>
          <w:tcPr>
            <w:tcW w:w="2790" w:type="dxa"/>
            <w:tcBorders>
              <w:top w:val="single" w:color="auto" w:sz="4" w:space="0"/>
              <w:left w:val="single" w:color="auto" w:sz="4" w:space="0"/>
              <w:bottom w:val="single" w:color="auto" w:sz="4" w:space="0"/>
              <w:right w:val="single" w:color="auto" w:sz="4" w:space="0"/>
            </w:tcBorders>
            <w:vAlign w:val="center"/>
          </w:tcPr>
          <w:p w14:paraId="3C36D8E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日常质检考核得分较目标值每下降1分的扣2分。质检数据通过系统取数，扣完为止。</w:t>
            </w:r>
          </w:p>
        </w:tc>
      </w:tr>
      <w:tr w14:paraId="335C4E71">
        <w:tblPrEx>
          <w:tblCellMar>
            <w:top w:w="0" w:type="dxa"/>
            <w:left w:w="108" w:type="dxa"/>
            <w:bottom w:w="0" w:type="dxa"/>
            <w:right w:w="108" w:type="dxa"/>
          </w:tblCellMar>
        </w:tblPrEx>
        <w:trPr>
          <w:trHeight w:val="570" w:hRule="atLeast"/>
        </w:trPr>
        <w:tc>
          <w:tcPr>
            <w:tcW w:w="825" w:type="dxa"/>
            <w:tcBorders>
              <w:top w:val="single" w:color="auto" w:sz="4" w:space="0"/>
              <w:left w:val="single" w:color="auto" w:sz="4" w:space="0"/>
              <w:bottom w:val="single" w:color="auto" w:sz="4" w:space="0"/>
              <w:right w:val="single" w:color="auto" w:sz="4" w:space="0"/>
            </w:tcBorders>
            <w:vAlign w:val="center"/>
          </w:tcPr>
          <w:p w14:paraId="441AF81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业务培训</w:t>
            </w:r>
          </w:p>
        </w:tc>
        <w:tc>
          <w:tcPr>
            <w:tcW w:w="825" w:type="dxa"/>
            <w:tcBorders>
              <w:top w:val="single" w:color="auto" w:sz="4" w:space="0"/>
              <w:left w:val="nil"/>
              <w:bottom w:val="single" w:color="auto" w:sz="4" w:space="0"/>
              <w:right w:val="single" w:color="auto" w:sz="4" w:space="0"/>
            </w:tcBorders>
            <w:vAlign w:val="center"/>
          </w:tcPr>
          <w:p w14:paraId="13E24A9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760" w:type="dxa"/>
            <w:tcBorders>
              <w:top w:val="single" w:color="auto" w:sz="4" w:space="0"/>
              <w:left w:val="nil"/>
              <w:bottom w:val="single" w:color="auto" w:sz="4" w:space="0"/>
              <w:right w:val="single" w:color="auto" w:sz="4" w:space="0"/>
            </w:tcBorders>
            <w:vAlign w:val="center"/>
          </w:tcPr>
          <w:p w14:paraId="3F8123F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每月不低于4次专项培训，不低于4次分组培训（其中不少于2次服务规范培训）且每月须制定培训方案和情况记录</w:t>
            </w:r>
          </w:p>
        </w:tc>
        <w:tc>
          <w:tcPr>
            <w:tcW w:w="2445" w:type="dxa"/>
            <w:tcBorders>
              <w:top w:val="single" w:color="auto" w:sz="4" w:space="0"/>
              <w:left w:val="nil"/>
              <w:bottom w:val="single" w:color="auto" w:sz="4" w:space="0"/>
              <w:right w:val="single" w:color="auto" w:sz="4" w:space="0"/>
            </w:tcBorders>
            <w:vAlign w:val="center"/>
          </w:tcPr>
          <w:p w14:paraId="3B156BD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月均专项培训和分组培训的培训次数不得低于4次，且每月须制定培训方案和情况记录</w:t>
            </w:r>
          </w:p>
        </w:tc>
        <w:tc>
          <w:tcPr>
            <w:tcW w:w="2790" w:type="dxa"/>
            <w:tcBorders>
              <w:top w:val="single" w:color="auto" w:sz="4" w:space="0"/>
              <w:left w:val="nil"/>
              <w:bottom w:val="single" w:color="auto" w:sz="4" w:space="0"/>
              <w:right w:val="single" w:color="auto" w:sz="4" w:space="0"/>
            </w:tcBorders>
            <w:vAlign w:val="center"/>
          </w:tcPr>
          <w:p w14:paraId="6736884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每少一次培训扣0.5分，扣完为止。</w:t>
            </w:r>
          </w:p>
        </w:tc>
      </w:tr>
      <w:tr w14:paraId="5D036794">
        <w:tblPrEx>
          <w:tblCellMar>
            <w:top w:w="0" w:type="dxa"/>
            <w:left w:w="108" w:type="dxa"/>
            <w:bottom w:w="0" w:type="dxa"/>
            <w:right w:w="108" w:type="dxa"/>
          </w:tblCellMar>
        </w:tblPrEx>
        <w:trPr>
          <w:trHeight w:val="570" w:hRule="atLeast"/>
        </w:trPr>
        <w:tc>
          <w:tcPr>
            <w:tcW w:w="825" w:type="dxa"/>
            <w:tcBorders>
              <w:top w:val="single" w:color="auto" w:sz="4" w:space="0"/>
              <w:left w:val="single" w:color="auto" w:sz="4" w:space="0"/>
              <w:bottom w:val="single" w:color="auto" w:sz="4" w:space="0"/>
              <w:right w:val="single" w:color="auto" w:sz="4" w:space="0"/>
            </w:tcBorders>
            <w:vAlign w:val="center"/>
          </w:tcPr>
          <w:p w14:paraId="608604A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测试通过率</w:t>
            </w:r>
          </w:p>
        </w:tc>
        <w:tc>
          <w:tcPr>
            <w:tcW w:w="825" w:type="dxa"/>
            <w:tcBorders>
              <w:top w:val="single" w:color="auto" w:sz="4" w:space="0"/>
              <w:left w:val="nil"/>
              <w:bottom w:val="single" w:color="auto" w:sz="4" w:space="0"/>
              <w:right w:val="single" w:color="auto" w:sz="4" w:space="0"/>
            </w:tcBorders>
            <w:vAlign w:val="center"/>
          </w:tcPr>
          <w:p w14:paraId="2B79A2B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760" w:type="dxa"/>
            <w:tcBorders>
              <w:top w:val="single" w:color="auto" w:sz="4" w:space="0"/>
              <w:left w:val="nil"/>
              <w:bottom w:val="single" w:color="auto" w:sz="4" w:space="0"/>
              <w:right w:val="single" w:color="auto" w:sz="4" w:space="0"/>
            </w:tcBorders>
            <w:vAlign w:val="center"/>
          </w:tcPr>
          <w:p w14:paraId="0A9400C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业务测试通过率=[业务测试得分80分（含）以上的老坐席总数+业务测试得分70分（含）以上的新坐席总数]/应参加业务测试坐席总数*100% </w:t>
            </w:r>
          </w:p>
        </w:tc>
        <w:tc>
          <w:tcPr>
            <w:tcW w:w="2445" w:type="dxa"/>
            <w:tcBorders>
              <w:top w:val="single" w:color="auto" w:sz="4" w:space="0"/>
              <w:left w:val="nil"/>
              <w:bottom w:val="single" w:color="auto" w:sz="4" w:space="0"/>
              <w:right w:val="single" w:color="auto" w:sz="4" w:space="0"/>
            </w:tcBorders>
            <w:vAlign w:val="center"/>
          </w:tcPr>
          <w:p w14:paraId="6721AF5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业务测试通过率高于90%（含）</w:t>
            </w:r>
          </w:p>
        </w:tc>
        <w:tc>
          <w:tcPr>
            <w:tcW w:w="2790" w:type="dxa"/>
            <w:tcBorders>
              <w:top w:val="single" w:color="auto" w:sz="4" w:space="0"/>
              <w:left w:val="nil"/>
              <w:bottom w:val="single" w:color="auto" w:sz="4" w:space="0"/>
              <w:right w:val="single" w:color="auto" w:sz="4" w:space="0"/>
            </w:tcBorders>
            <w:vAlign w:val="center"/>
          </w:tcPr>
          <w:p w14:paraId="49CFD3C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业务测试通过率较目标值每下降5%扣1分。扣完为止。</w:t>
            </w:r>
          </w:p>
        </w:tc>
      </w:tr>
      <w:tr w14:paraId="3DF5331C">
        <w:tblPrEx>
          <w:tblCellMar>
            <w:top w:w="0" w:type="dxa"/>
            <w:left w:w="108" w:type="dxa"/>
            <w:bottom w:w="0" w:type="dxa"/>
            <w:right w:w="108" w:type="dxa"/>
          </w:tblCellMar>
        </w:tblPrEx>
        <w:trPr>
          <w:trHeight w:val="570" w:hRule="atLeast"/>
        </w:trPr>
        <w:tc>
          <w:tcPr>
            <w:tcW w:w="825" w:type="dxa"/>
            <w:tcBorders>
              <w:top w:val="nil"/>
              <w:left w:val="single" w:color="auto" w:sz="4" w:space="0"/>
              <w:bottom w:val="single" w:color="auto" w:sz="4" w:space="0"/>
              <w:right w:val="single" w:color="auto" w:sz="4" w:space="0"/>
            </w:tcBorders>
            <w:vAlign w:val="center"/>
          </w:tcPr>
          <w:p w14:paraId="72CDC2D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服务投诉</w:t>
            </w:r>
          </w:p>
        </w:tc>
        <w:tc>
          <w:tcPr>
            <w:tcW w:w="825" w:type="dxa"/>
            <w:tcBorders>
              <w:top w:val="nil"/>
              <w:left w:val="nil"/>
              <w:bottom w:val="single" w:color="auto" w:sz="4" w:space="0"/>
              <w:right w:val="single" w:color="auto" w:sz="4" w:space="0"/>
            </w:tcBorders>
            <w:vAlign w:val="center"/>
          </w:tcPr>
          <w:p w14:paraId="5A6FC8C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760" w:type="dxa"/>
            <w:tcBorders>
              <w:top w:val="nil"/>
              <w:left w:val="nil"/>
              <w:bottom w:val="single" w:color="auto" w:sz="4" w:space="0"/>
              <w:right w:val="single" w:color="auto" w:sz="4" w:space="0"/>
            </w:tcBorders>
            <w:vAlign w:val="center"/>
          </w:tcPr>
          <w:p w14:paraId="67D5069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纳税人缴费人通过热线、网站、邮箱等方式对话务坐席服务质量的投诉，经调查属实的</w:t>
            </w:r>
          </w:p>
        </w:tc>
        <w:tc>
          <w:tcPr>
            <w:tcW w:w="2445" w:type="dxa"/>
            <w:tcBorders>
              <w:top w:val="nil"/>
              <w:left w:val="nil"/>
              <w:bottom w:val="single" w:color="auto" w:sz="4" w:space="0"/>
              <w:right w:val="single" w:color="auto" w:sz="4" w:space="0"/>
            </w:tcBorders>
            <w:vAlign w:val="center"/>
          </w:tcPr>
          <w:p w14:paraId="6E67FE9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每月累计不超过2次</w:t>
            </w:r>
          </w:p>
        </w:tc>
        <w:tc>
          <w:tcPr>
            <w:tcW w:w="2790" w:type="dxa"/>
            <w:tcBorders>
              <w:top w:val="nil"/>
              <w:left w:val="nil"/>
              <w:bottom w:val="single" w:color="auto" w:sz="4" w:space="0"/>
              <w:right w:val="single" w:color="auto" w:sz="4" w:space="0"/>
            </w:tcBorders>
            <w:vAlign w:val="center"/>
          </w:tcPr>
          <w:p w14:paraId="641DEA3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服务投诉超过目标值的，每超1次扣1分。扣完为止。造成严重后果或恶劣影响的该指标不得分。</w:t>
            </w:r>
          </w:p>
        </w:tc>
      </w:tr>
      <w:tr w14:paraId="5CB6CAA0">
        <w:tblPrEx>
          <w:tblCellMar>
            <w:top w:w="0" w:type="dxa"/>
            <w:left w:w="108" w:type="dxa"/>
            <w:bottom w:w="0" w:type="dxa"/>
            <w:right w:w="108" w:type="dxa"/>
          </w:tblCellMar>
        </w:tblPrEx>
        <w:trPr>
          <w:trHeight w:val="1140" w:hRule="atLeast"/>
        </w:trPr>
        <w:tc>
          <w:tcPr>
            <w:tcW w:w="825" w:type="dxa"/>
            <w:tcBorders>
              <w:top w:val="nil"/>
              <w:left w:val="single" w:color="auto" w:sz="4" w:space="0"/>
              <w:bottom w:val="single" w:color="auto" w:sz="4" w:space="0"/>
              <w:right w:val="single" w:color="auto" w:sz="4" w:space="0"/>
            </w:tcBorders>
            <w:vAlign w:val="center"/>
          </w:tcPr>
          <w:p w14:paraId="144B0CC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员工稳定性</w:t>
            </w:r>
          </w:p>
        </w:tc>
        <w:tc>
          <w:tcPr>
            <w:tcW w:w="825" w:type="dxa"/>
            <w:tcBorders>
              <w:top w:val="nil"/>
              <w:left w:val="nil"/>
              <w:bottom w:val="single" w:color="auto" w:sz="4" w:space="0"/>
              <w:right w:val="single" w:color="auto" w:sz="4" w:space="0"/>
            </w:tcBorders>
            <w:vAlign w:val="center"/>
          </w:tcPr>
          <w:p w14:paraId="6AD1119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760" w:type="dxa"/>
            <w:tcBorders>
              <w:top w:val="nil"/>
              <w:left w:val="nil"/>
              <w:bottom w:val="single" w:color="auto" w:sz="4" w:space="0"/>
              <w:right w:val="single" w:color="auto" w:sz="4" w:space="0"/>
            </w:tcBorders>
            <w:vAlign w:val="center"/>
          </w:tcPr>
          <w:p w14:paraId="6DDC1BD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员工稳定性=1-员工流失率</w:t>
            </w:r>
          </w:p>
          <w:p w14:paraId="7E49DB5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员工流失率=咨询员变动数（离职）/[（咨询员期初总数+咨询员期末总数）/2]</w:t>
            </w:r>
          </w:p>
        </w:tc>
        <w:tc>
          <w:tcPr>
            <w:tcW w:w="2445" w:type="dxa"/>
            <w:tcBorders>
              <w:top w:val="nil"/>
              <w:left w:val="nil"/>
              <w:bottom w:val="single" w:color="auto" w:sz="4" w:space="0"/>
              <w:right w:val="single" w:color="auto" w:sz="4" w:space="0"/>
            </w:tcBorders>
            <w:vAlign w:val="center"/>
          </w:tcPr>
          <w:p w14:paraId="11D637F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合同期每季度累计员工稳定性不低于90%</w:t>
            </w:r>
          </w:p>
        </w:tc>
        <w:tc>
          <w:tcPr>
            <w:tcW w:w="2790" w:type="dxa"/>
            <w:tcBorders>
              <w:top w:val="nil"/>
              <w:left w:val="nil"/>
              <w:bottom w:val="single" w:color="auto" w:sz="4" w:space="0"/>
              <w:right w:val="single" w:color="auto" w:sz="4" w:space="0"/>
            </w:tcBorders>
            <w:vAlign w:val="center"/>
          </w:tcPr>
          <w:p w14:paraId="19CDF2C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员工稳定性较目标值每下降2%，扣1分，扣完为止。</w:t>
            </w:r>
          </w:p>
        </w:tc>
      </w:tr>
    </w:tbl>
    <w:p w14:paraId="1229E96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3.验收交付清单</w:t>
      </w:r>
    </w:p>
    <w:p w14:paraId="2C69B7F8">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各阶段验收时，</w:t>
      </w:r>
      <w:r>
        <w:rPr>
          <w:rFonts w:hint="eastAsia" w:ascii="宋体" w:hAnsi="宋体" w:cs="宋体"/>
          <w:snapToGrid w:val="0"/>
          <w:color w:val="auto"/>
          <w:sz w:val="21"/>
          <w:szCs w:val="21"/>
          <w:highlight w:val="none"/>
          <w:lang w:val="en-US" w:eastAsia="zh-CN"/>
        </w:rPr>
        <w:t>中标人</w:t>
      </w:r>
      <w:r>
        <w:rPr>
          <w:rFonts w:hint="eastAsia" w:ascii="宋体" w:hAnsi="宋体" w:cs="宋体"/>
          <w:snapToGrid w:val="0"/>
          <w:color w:val="auto"/>
          <w:sz w:val="21"/>
          <w:szCs w:val="21"/>
          <w:highlight w:val="none"/>
          <w:lang w:eastAsia="zh-CN"/>
        </w:rPr>
        <w:t>需提供阶段运行报告、培训考核记录、项目参与人员清单、离职人员情况说明及离职申请单等与考核内容相关材料，具体交付内容以采购人验收阶段要求为准，</w:t>
      </w:r>
      <w:r>
        <w:rPr>
          <w:rFonts w:hint="eastAsia" w:ascii="宋体" w:hAnsi="宋体" w:cs="宋体"/>
          <w:snapToGrid w:val="0"/>
          <w:color w:val="auto"/>
          <w:sz w:val="21"/>
          <w:szCs w:val="21"/>
          <w:highlight w:val="none"/>
          <w:lang w:val="en-US" w:eastAsia="zh-CN"/>
        </w:rPr>
        <w:t>中标人</w:t>
      </w:r>
      <w:r>
        <w:rPr>
          <w:rFonts w:hint="eastAsia" w:ascii="宋体" w:hAnsi="宋体" w:cs="宋体"/>
          <w:snapToGrid w:val="0"/>
          <w:color w:val="auto"/>
          <w:sz w:val="21"/>
          <w:szCs w:val="21"/>
          <w:highlight w:val="none"/>
          <w:lang w:eastAsia="zh-CN"/>
        </w:rPr>
        <w:t>应当予以配合，并按时将资料准备好。</w:t>
      </w:r>
    </w:p>
    <w:p w14:paraId="0440A9D9">
      <w:pPr>
        <w:pStyle w:val="27"/>
        <w:spacing w:after="156" w:line="560" w:lineRule="exact"/>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（三）其他要求</w:t>
      </w:r>
    </w:p>
    <w:p w14:paraId="6554FA71">
      <w:pPr>
        <w:adjustRightInd w:val="0"/>
        <w:snapToGrid w:val="0"/>
        <w:spacing w:line="560" w:lineRule="exact"/>
        <w:ind w:firstLine="420" w:firstLineChars="200"/>
        <w:rPr>
          <w:rFonts w:hint="eastAsia" w:ascii="宋体" w:hAnsi="宋体" w:cs="宋体"/>
          <w:color w:val="auto"/>
          <w:szCs w:val="21"/>
          <w:highlight w:val="none"/>
          <w:lang w:eastAsia="de-DE"/>
        </w:rPr>
      </w:pPr>
      <w:r>
        <w:rPr>
          <w:rFonts w:hint="eastAsia" w:ascii="宋体" w:hAnsi="宋体" w:cs="宋体"/>
          <w:color w:val="auto"/>
          <w:szCs w:val="21"/>
          <w:highlight w:val="none"/>
        </w:rPr>
        <w:t>1.</w:t>
      </w:r>
      <w:r>
        <w:rPr>
          <w:rFonts w:hint="eastAsia" w:ascii="宋体" w:hAnsi="宋体" w:cs="宋体"/>
          <w:color w:val="auto"/>
          <w:szCs w:val="21"/>
          <w:highlight w:val="none"/>
          <w:lang w:eastAsia="de-DE"/>
        </w:rPr>
        <w:t>项目保密要求</w:t>
      </w:r>
    </w:p>
    <w:p w14:paraId="3A86B857">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①</w:t>
      </w:r>
      <w:r>
        <w:rPr>
          <w:rFonts w:hint="eastAsia" w:ascii="宋体" w:hAnsi="宋体" w:cs="宋体"/>
          <w:snapToGrid w:val="0"/>
          <w:color w:val="auto"/>
          <w:sz w:val="21"/>
          <w:szCs w:val="21"/>
          <w:highlight w:val="none"/>
          <w:lang w:eastAsia="zh-CN"/>
        </w:rPr>
        <w:t>中标人应对在本合同签订或履行过程中所接触的采购人信息，包括但不限于知识产权、技术资料、技术诀窍、内部管理及其他相关信息，负有保密义务。</w:t>
      </w:r>
    </w:p>
    <w:p w14:paraId="312A4C99">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②</w:t>
      </w:r>
      <w:r>
        <w:rPr>
          <w:rFonts w:hint="eastAsia" w:ascii="宋体" w:hAnsi="宋体" w:cs="宋体"/>
          <w:snapToGrid w:val="0"/>
          <w:color w:val="auto"/>
          <w:sz w:val="21"/>
          <w:szCs w:val="21"/>
          <w:highlight w:val="none"/>
          <w:lang w:eastAsia="zh-CN"/>
        </w:rPr>
        <w:t>中标人在使用采购人为中标人及其工作人员提供的数据、程序、用户名、口令、资料及采购人相关的业务和技术文档，包括税收政策、方案设计细节、程序文件、数据结构，以及相关业务系统的硬软件、文档、测试和测试产生的数据时，应遵循以下规定：</w:t>
      </w:r>
    </w:p>
    <w:p w14:paraId="39C6048D">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(1)应以审慎态度避免泄露、公开或传播采购人的信息；</w:t>
      </w:r>
    </w:p>
    <w:p w14:paraId="7A986306">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(2)未经采购人书面许可，不得对有关信息进行修改、补充、复制；</w:t>
      </w:r>
    </w:p>
    <w:p w14:paraId="67E7CCBE">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(3)未经采购人书面许可，不得将信息以任何方式(如E－mail)携带出采购人场所；</w:t>
      </w:r>
    </w:p>
    <w:p w14:paraId="7A4046FC">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(4)未经采购人书面许可，不得将信息透露给任何其他人；</w:t>
      </w:r>
    </w:p>
    <w:p w14:paraId="505C10C8">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(5)采购人以书面形式提出的其他保密措施。</w:t>
      </w:r>
    </w:p>
    <w:p w14:paraId="77D32E62">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③</w:t>
      </w:r>
      <w:r>
        <w:rPr>
          <w:rFonts w:hint="eastAsia" w:ascii="宋体" w:hAnsi="宋体" w:cs="宋体"/>
          <w:snapToGrid w:val="0"/>
          <w:color w:val="auto"/>
          <w:sz w:val="21"/>
          <w:szCs w:val="21"/>
          <w:highlight w:val="none"/>
          <w:lang w:eastAsia="zh-CN"/>
        </w:rPr>
        <w:t>保密期限不受合同有效期的限制，在合同有效期结束后，信息接受方仍应承担保密义务，直至该等信息成为公开信息。</w:t>
      </w:r>
    </w:p>
    <w:p w14:paraId="55C4D7F0">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④</w:t>
      </w:r>
      <w:r>
        <w:rPr>
          <w:rFonts w:hint="eastAsia" w:ascii="宋体" w:hAnsi="宋体" w:cs="宋体"/>
          <w:snapToGrid w:val="0"/>
          <w:color w:val="auto"/>
          <w:sz w:val="21"/>
          <w:szCs w:val="21"/>
          <w:highlight w:val="none"/>
          <w:lang w:eastAsia="zh-CN"/>
        </w:rPr>
        <w:t>如出现泄密行为，泄密方应承担相关的法律责任，包括但是不限于对由此给对方造成的经济损失进行赔偿。</w:t>
      </w:r>
    </w:p>
    <w:p w14:paraId="42D7D9D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2.安全管理要求</w:t>
      </w:r>
    </w:p>
    <w:p w14:paraId="3A215A7E">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①中标人应对管理人员和坐席加强网络安全管理，必须按照要求：（1）签订保密协议和网络安全承诺书；（2）进行网络安全和数据安全相关规定培训及警示教育；（3）中标人要保证员工背景符合要求。</w:t>
      </w:r>
    </w:p>
    <w:p w14:paraId="2B3D8CC2">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②中标人未经采购人同意，不得访问、修改、披露、利用、转让、销毁税务数据，并严格按照个人信息保护和数据安全相关法律和制度要求，履行责任义务，切实加强相关信息保护。</w:t>
      </w:r>
    </w:p>
    <w:p w14:paraId="0141A529">
      <w:pPr>
        <w:pStyle w:val="33"/>
        <w:spacing w:line="560" w:lineRule="exact"/>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③严格区分内外网，严禁接入过互联网的终端接入税务内网。为保证安全，在服务期间，中标人的所有终端必须经过采购人安全处置后方可使用，并履行报备手续，严禁私自接入相关网络及设备。在服务期及服务期结束后的1个月内不得带离办公地点。采购人有权对终端的安全设置进行检查和加固，终端离场时需要经采购人审批，由采购人对硬盘进行格式化或使用过的硬盘进行拆卸并封存，中标人不得拒绝。</w:t>
      </w:r>
    </w:p>
    <w:p w14:paraId="27631AFE">
      <w:pPr>
        <w:pStyle w:val="33"/>
        <w:spacing w:line="56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④中标人要对坐席人员及管理人员投保人身意外险。坐席人员及管理人员在12366工作期间发生工伤、经济补偿、劳动争议或意外伤害等均由中标人承担。</w:t>
      </w:r>
    </w:p>
    <w:p w14:paraId="04CFB503">
      <w:pPr>
        <w:pStyle w:val="27"/>
        <w:spacing w:after="156" w:line="560" w:lineRule="exact"/>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（四）付款方式：</w:t>
      </w:r>
    </w:p>
    <w:p w14:paraId="5A3B382E">
      <w:pPr>
        <w:adjustRightInd w:val="0"/>
        <w:snapToGrid w:val="0"/>
        <w:spacing w:line="560" w:lineRule="exact"/>
        <w:ind w:firstLine="420" w:firstLineChars="200"/>
        <w:rPr>
          <w:rFonts w:hint="eastAsia" w:ascii="宋体" w:hAnsi="宋体" w:cs="宋体"/>
          <w:color w:val="auto"/>
          <w:szCs w:val="21"/>
          <w:highlight w:val="none"/>
          <w:lang w:eastAsia="de-DE"/>
        </w:rPr>
      </w:pPr>
      <w:r>
        <w:rPr>
          <w:rFonts w:hint="eastAsia" w:ascii="宋体" w:hAnsi="宋体" w:cs="宋体"/>
          <w:color w:val="auto"/>
          <w:szCs w:val="21"/>
          <w:highlight w:val="none"/>
        </w:rPr>
        <w:t>1.</w:t>
      </w:r>
      <w:r>
        <w:rPr>
          <w:rFonts w:hint="eastAsia" w:ascii="宋体" w:hAnsi="宋体" w:cs="宋体"/>
          <w:color w:val="auto"/>
          <w:szCs w:val="21"/>
          <w:highlight w:val="none"/>
          <w:lang w:eastAsia="de-DE"/>
        </w:rPr>
        <w:t>预算总价</w:t>
      </w:r>
    </w:p>
    <w:p w14:paraId="48D0834F">
      <w:pPr>
        <w:adjustRightInd w:val="0"/>
        <w:snapToGrid w:val="0"/>
        <w:spacing w:line="560" w:lineRule="exact"/>
        <w:ind w:firstLine="420" w:firstLineChars="200"/>
        <w:rPr>
          <w:rFonts w:hint="eastAsia" w:ascii="宋体" w:hAnsi="宋体" w:cs="宋体"/>
          <w:snapToGrid w:val="0"/>
          <w:color w:val="auto"/>
          <w:szCs w:val="21"/>
          <w:highlight w:val="none"/>
          <w:lang w:eastAsia="de-DE"/>
        </w:rPr>
      </w:pPr>
      <w:r>
        <w:rPr>
          <w:rFonts w:hint="eastAsia" w:ascii="宋体" w:hAnsi="宋体" w:cs="宋体"/>
          <w:snapToGrid w:val="0"/>
          <w:color w:val="auto"/>
          <w:szCs w:val="21"/>
          <w:highlight w:val="none"/>
          <w:lang w:eastAsia="de-DE"/>
        </w:rPr>
        <w:t>本项目每年预算570万元，两年合计预算1140万元。根据工作量测算中标人需提供不少于50个坐席岗位，服务时间为24个月。本项下所有服务的全部税费已包含于预算总价。上述款项为中标人按照要求保证坐席人员足额到位时，采购人应支付的合同价款的预算总价。</w:t>
      </w:r>
    </w:p>
    <w:p w14:paraId="7C158C62">
      <w:pPr>
        <w:adjustRightInd w:val="0"/>
        <w:snapToGrid w:val="0"/>
        <w:spacing w:line="560" w:lineRule="exact"/>
        <w:ind w:firstLine="420" w:firstLineChars="200"/>
        <w:rPr>
          <w:rFonts w:hint="eastAsia" w:ascii="宋体" w:hAnsi="宋体" w:cs="宋体"/>
          <w:color w:val="auto"/>
          <w:szCs w:val="21"/>
          <w:highlight w:val="none"/>
          <w:lang w:eastAsia="de-DE"/>
        </w:rPr>
      </w:pPr>
      <w:r>
        <w:rPr>
          <w:rFonts w:hint="eastAsia" w:ascii="宋体" w:hAnsi="宋体" w:cs="宋体"/>
          <w:color w:val="auto"/>
          <w:szCs w:val="21"/>
          <w:highlight w:val="none"/>
        </w:rPr>
        <w:t>2.</w:t>
      </w:r>
      <w:r>
        <w:rPr>
          <w:rFonts w:hint="eastAsia" w:ascii="宋体" w:hAnsi="宋体" w:cs="宋体"/>
          <w:color w:val="auto"/>
          <w:szCs w:val="21"/>
          <w:highlight w:val="none"/>
          <w:lang w:eastAsia="de-DE"/>
        </w:rPr>
        <w:t>付款结算</w:t>
      </w:r>
    </w:p>
    <w:p w14:paraId="08140B33">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实际支付合同价款=考核当期合同款-人员不到位</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-服务质效</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-影响省、市局形象导致舆情事件</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-上级部门通报批评</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lang w:eastAsia="zh-CN"/>
        </w:rPr>
        <w:t>其他</w:t>
      </w:r>
      <w:r>
        <w:rPr>
          <w:rFonts w:hint="eastAsia" w:ascii="宋体" w:hAnsi="宋体" w:cs="宋体"/>
          <w:snapToGrid w:val="0"/>
          <w:color w:val="auto"/>
          <w:sz w:val="21"/>
          <w:szCs w:val="21"/>
          <w:highlight w:val="none"/>
        </w:rPr>
        <w:t>违约</w:t>
      </w:r>
      <w:r>
        <w:rPr>
          <w:rFonts w:hint="eastAsia" w:ascii="宋体" w:hAnsi="宋体" w:cs="宋体"/>
          <w:snapToGrid w:val="0"/>
          <w:color w:val="auto"/>
          <w:sz w:val="21"/>
          <w:szCs w:val="21"/>
          <w:highlight w:val="none"/>
          <w:lang w:eastAsia="zh-CN"/>
        </w:rPr>
        <w:t>金</w:t>
      </w:r>
      <w:r>
        <w:rPr>
          <w:rFonts w:hint="eastAsia" w:ascii="宋体" w:hAnsi="宋体" w:cs="宋体"/>
          <w:snapToGrid w:val="0"/>
          <w:color w:val="auto"/>
          <w:sz w:val="21"/>
          <w:szCs w:val="21"/>
          <w:highlight w:val="none"/>
        </w:rPr>
        <w:t>。实际支付合同价款的结算规则如下：</w:t>
      </w:r>
    </w:p>
    <w:p w14:paraId="5056DCE8">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①</w:t>
      </w:r>
      <w:r>
        <w:rPr>
          <w:rFonts w:hint="eastAsia" w:ascii="宋体" w:hAnsi="宋体" w:cs="宋体"/>
          <w:snapToGrid w:val="0"/>
          <w:color w:val="auto"/>
          <w:sz w:val="21"/>
          <w:szCs w:val="21"/>
          <w:highlight w:val="none"/>
        </w:rPr>
        <w:t>人员不到位</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。首先根据坐席到位率计算</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。如中标人不能按要求保证坐席足额到位将相应</w:t>
      </w:r>
      <w:bookmarkStart w:id="57" w:name="_Hlk193233291"/>
      <w:r>
        <w:rPr>
          <w:rFonts w:hint="eastAsia" w:ascii="宋体" w:hAnsi="宋体" w:cs="宋体"/>
          <w:snapToGrid w:val="0"/>
          <w:color w:val="auto"/>
          <w:sz w:val="21"/>
          <w:szCs w:val="21"/>
          <w:highlight w:val="none"/>
          <w:lang w:eastAsia="zh-CN"/>
        </w:rPr>
        <w:t>支付违约金并从</w:t>
      </w:r>
      <w:bookmarkEnd w:id="57"/>
      <w:r>
        <w:rPr>
          <w:rFonts w:hint="eastAsia" w:ascii="宋体" w:hAnsi="宋体" w:cs="宋体"/>
          <w:snapToGrid w:val="0"/>
          <w:color w:val="auto"/>
          <w:sz w:val="21"/>
          <w:szCs w:val="21"/>
          <w:highlight w:val="none"/>
          <w:lang w:eastAsia="zh-CN"/>
        </w:rPr>
        <w:t>当期</w:t>
      </w:r>
      <w:r>
        <w:rPr>
          <w:rFonts w:hint="eastAsia" w:ascii="宋体" w:hAnsi="宋体" w:cs="宋体"/>
          <w:snapToGrid w:val="0"/>
          <w:color w:val="auto"/>
          <w:sz w:val="21"/>
          <w:szCs w:val="21"/>
          <w:highlight w:val="none"/>
        </w:rPr>
        <w:t>合同款</w:t>
      </w:r>
      <w:r>
        <w:rPr>
          <w:rFonts w:hint="eastAsia" w:ascii="宋体" w:hAnsi="宋体" w:cs="宋体"/>
          <w:snapToGrid w:val="0"/>
          <w:color w:val="auto"/>
          <w:sz w:val="21"/>
          <w:szCs w:val="21"/>
          <w:highlight w:val="none"/>
          <w:lang w:eastAsia="zh-CN"/>
        </w:rPr>
        <w:t>中扣除</w:t>
      </w:r>
      <w:r>
        <w:rPr>
          <w:rFonts w:hint="eastAsia" w:ascii="宋体" w:hAnsi="宋体" w:cs="宋体"/>
          <w:snapToGrid w:val="0"/>
          <w:color w:val="auto"/>
          <w:sz w:val="21"/>
          <w:szCs w:val="21"/>
          <w:highlight w:val="none"/>
        </w:rPr>
        <w:t>，即人员</w:t>
      </w:r>
      <w:r>
        <w:rPr>
          <w:rFonts w:hint="eastAsia" w:ascii="宋体" w:hAnsi="宋体" w:cs="宋体"/>
          <w:snapToGrid w:val="0"/>
          <w:color w:val="auto"/>
          <w:sz w:val="21"/>
          <w:szCs w:val="21"/>
          <w:highlight w:val="none"/>
          <w:lang w:eastAsia="zh-CN"/>
        </w:rPr>
        <w:t>不到位违约金</w:t>
      </w:r>
      <w:r>
        <w:rPr>
          <w:rFonts w:hint="eastAsia" w:ascii="宋体" w:hAnsi="宋体" w:cs="宋体"/>
          <w:snapToGrid w:val="0"/>
          <w:color w:val="auto"/>
          <w:sz w:val="21"/>
          <w:szCs w:val="21"/>
          <w:highlight w:val="none"/>
        </w:rPr>
        <w:t>=考核当期合同款*（1-坐席到位率）。坐席到位率按季考核，坐席到位率=坐席实际到位人数/合同约定最低人数，实际到位人数按季度每月到位人数平均值计算。</w:t>
      </w:r>
    </w:p>
    <w:p w14:paraId="2476882A">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②</w:t>
      </w:r>
      <w:r>
        <w:rPr>
          <w:rFonts w:hint="eastAsia" w:ascii="宋体" w:hAnsi="宋体" w:cs="宋体"/>
          <w:snapToGrid w:val="0"/>
          <w:color w:val="auto"/>
          <w:sz w:val="21"/>
          <w:szCs w:val="21"/>
          <w:highlight w:val="none"/>
        </w:rPr>
        <w:t>服务质效</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。根据每季度考核指标总得分计算服务质效</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，服务质效</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=（考核当期合同款-人员不到位</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）*[1-（每季度考核指标分值/100）]</w:t>
      </w:r>
    </w:p>
    <w:p w14:paraId="7B59480D">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③</w:t>
      </w:r>
      <w:r>
        <w:rPr>
          <w:rFonts w:hint="eastAsia" w:ascii="宋体" w:hAnsi="宋体" w:cs="宋体"/>
          <w:snapToGrid w:val="0"/>
          <w:color w:val="auto"/>
          <w:sz w:val="21"/>
          <w:szCs w:val="21"/>
          <w:highlight w:val="none"/>
        </w:rPr>
        <w:t>服务外包人员在工作中出现影响福建省税务局、福州市税务局形象的舆情事件，经调查属实的，每次</w:t>
      </w:r>
      <w:r>
        <w:rPr>
          <w:rFonts w:hint="eastAsia" w:ascii="宋体" w:hAnsi="宋体" w:cs="宋体"/>
          <w:snapToGrid w:val="0"/>
          <w:color w:val="auto"/>
          <w:sz w:val="21"/>
          <w:szCs w:val="21"/>
          <w:highlight w:val="none"/>
          <w:lang w:eastAsia="zh-CN"/>
        </w:rPr>
        <w:t>按照</w:t>
      </w:r>
      <w:r>
        <w:rPr>
          <w:rFonts w:hint="eastAsia" w:ascii="宋体" w:hAnsi="宋体" w:cs="宋体"/>
          <w:snapToGrid w:val="0"/>
          <w:color w:val="auto"/>
          <w:sz w:val="21"/>
          <w:szCs w:val="21"/>
          <w:highlight w:val="none"/>
        </w:rPr>
        <w:t>考核当期合同款的1%</w:t>
      </w:r>
      <w:r>
        <w:rPr>
          <w:rFonts w:hint="eastAsia" w:ascii="宋体" w:hAnsi="宋体" w:cs="宋体"/>
          <w:snapToGrid w:val="0"/>
          <w:color w:val="auto"/>
          <w:sz w:val="21"/>
          <w:szCs w:val="21"/>
          <w:highlight w:val="none"/>
          <w:lang w:eastAsia="zh-CN"/>
        </w:rPr>
        <w:t>支付违约金</w:t>
      </w:r>
      <w:r>
        <w:rPr>
          <w:rFonts w:hint="eastAsia" w:ascii="宋体" w:hAnsi="宋体" w:cs="宋体"/>
          <w:snapToGrid w:val="0"/>
          <w:color w:val="auto"/>
          <w:sz w:val="21"/>
          <w:szCs w:val="21"/>
          <w:highlight w:val="none"/>
        </w:rPr>
        <w:t>。</w:t>
      </w:r>
    </w:p>
    <w:p w14:paraId="2B63A95D">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④</w:t>
      </w:r>
      <w:r>
        <w:rPr>
          <w:rFonts w:hint="eastAsia" w:ascii="宋体" w:hAnsi="宋体" w:cs="宋体"/>
          <w:snapToGrid w:val="0"/>
          <w:color w:val="auto"/>
          <w:sz w:val="21"/>
          <w:szCs w:val="21"/>
          <w:highlight w:val="none"/>
        </w:rPr>
        <w:t>服务外包人员在工作中出现违反业务、管理制度和工作纪律等，导致被采购人上级和地方政府部门通报的，经调查属实的，每次</w:t>
      </w:r>
      <w:r>
        <w:rPr>
          <w:rFonts w:hint="eastAsia" w:ascii="宋体" w:hAnsi="宋体" w:cs="宋体"/>
          <w:snapToGrid w:val="0"/>
          <w:color w:val="auto"/>
          <w:sz w:val="21"/>
          <w:szCs w:val="21"/>
          <w:highlight w:val="none"/>
          <w:lang w:eastAsia="zh-CN"/>
        </w:rPr>
        <w:t>按照</w:t>
      </w:r>
      <w:r>
        <w:rPr>
          <w:rFonts w:hint="eastAsia" w:ascii="宋体" w:hAnsi="宋体" w:cs="宋体"/>
          <w:snapToGrid w:val="0"/>
          <w:color w:val="auto"/>
          <w:sz w:val="21"/>
          <w:szCs w:val="21"/>
          <w:highlight w:val="none"/>
        </w:rPr>
        <w:t>考核当期合同款的1%</w:t>
      </w:r>
      <w:r>
        <w:rPr>
          <w:rFonts w:hint="eastAsia" w:ascii="宋体" w:hAnsi="宋体" w:cs="宋体"/>
          <w:snapToGrid w:val="0"/>
          <w:color w:val="auto"/>
          <w:sz w:val="21"/>
          <w:szCs w:val="21"/>
          <w:highlight w:val="none"/>
          <w:lang w:eastAsia="zh-CN"/>
        </w:rPr>
        <w:t>支付违约金</w:t>
      </w:r>
      <w:r>
        <w:rPr>
          <w:rFonts w:hint="eastAsia" w:ascii="宋体" w:hAnsi="宋体" w:cs="宋体"/>
          <w:snapToGrid w:val="0"/>
          <w:color w:val="auto"/>
          <w:sz w:val="21"/>
          <w:szCs w:val="21"/>
          <w:highlight w:val="none"/>
        </w:rPr>
        <w:t>。</w:t>
      </w:r>
    </w:p>
    <w:p w14:paraId="1775A6E4">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⑤</w:t>
      </w:r>
      <w:r>
        <w:rPr>
          <w:rFonts w:hint="eastAsia" w:ascii="宋体" w:hAnsi="宋体" w:cs="宋体"/>
          <w:snapToGrid w:val="0"/>
          <w:color w:val="auto"/>
          <w:sz w:val="21"/>
          <w:szCs w:val="21"/>
          <w:highlight w:val="none"/>
        </w:rPr>
        <w:t>在实际执行中，中标人未按投标文件落实其在评分表中相关承诺事项的，采购人有权根据该未履行事项在评分表中分值占总分中的比重</w:t>
      </w:r>
      <w:r>
        <w:rPr>
          <w:rFonts w:hint="eastAsia" w:ascii="宋体" w:hAnsi="宋体" w:cs="宋体"/>
          <w:snapToGrid w:val="0"/>
          <w:color w:val="auto"/>
          <w:sz w:val="21"/>
          <w:szCs w:val="21"/>
          <w:highlight w:val="none"/>
          <w:lang w:eastAsia="zh-CN"/>
        </w:rPr>
        <w:t>，要求中标人支付</w:t>
      </w:r>
      <w:r>
        <w:rPr>
          <w:rFonts w:hint="eastAsia" w:ascii="宋体" w:hAnsi="宋体" w:cs="宋体"/>
          <w:snapToGrid w:val="0"/>
          <w:color w:val="auto"/>
          <w:sz w:val="21"/>
          <w:szCs w:val="21"/>
          <w:highlight w:val="none"/>
        </w:rPr>
        <w:t>相应</w:t>
      </w:r>
      <w:r>
        <w:rPr>
          <w:rFonts w:hint="eastAsia" w:ascii="宋体" w:hAnsi="宋体" w:cs="宋体"/>
          <w:snapToGrid w:val="0"/>
          <w:color w:val="auto"/>
          <w:sz w:val="21"/>
          <w:szCs w:val="21"/>
          <w:highlight w:val="none"/>
          <w:lang w:eastAsia="zh-CN"/>
        </w:rPr>
        <w:t>违约金，并在</w:t>
      </w:r>
      <w:r>
        <w:rPr>
          <w:rFonts w:hint="eastAsia" w:ascii="宋体" w:hAnsi="宋体" w:cs="宋体"/>
          <w:snapToGrid w:val="0"/>
          <w:color w:val="auto"/>
          <w:sz w:val="21"/>
          <w:szCs w:val="21"/>
          <w:highlight w:val="none"/>
        </w:rPr>
        <w:t>当年合同款</w:t>
      </w:r>
      <w:r>
        <w:rPr>
          <w:rFonts w:hint="eastAsia" w:ascii="宋体" w:hAnsi="宋体" w:cs="宋体"/>
          <w:snapToGrid w:val="0"/>
          <w:color w:val="auto"/>
          <w:sz w:val="21"/>
          <w:szCs w:val="21"/>
          <w:highlight w:val="none"/>
          <w:lang w:eastAsia="zh-CN"/>
        </w:rPr>
        <w:t>中</w:t>
      </w:r>
      <w:r>
        <w:rPr>
          <w:rFonts w:hint="eastAsia" w:ascii="宋体" w:hAnsi="宋体" w:cs="宋体"/>
          <w:snapToGrid w:val="0"/>
          <w:color w:val="auto"/>
          <w:sz w:val="21"/>
          <w:szCs w:val="21"/>
          <w:highlight w:val="none"/>
        </w:rPr>
        <w:t>扣减。</w:t>
      </w:r>
    </w:p>
    <w:p w14:paraId="5596EB20">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⑥</w:t>
      </w:r>
      <w:r>
        <w:rPr>
          <w:rFonts w:hint="eastAsia" w:ascii="宋体" w:hAnsi="宋体" w:cs="宋体"/>
          <w:snapToGrid w:val="0"/>
          <w:color w:val="auto"/>
          <w:sz w:val="21"/>
          <w:szCs w:val="21"/>
          <w:highlight w:val="none"/>
          <w:lang w:eastAsia="zh-CN"/>
        </w:rPr>
        <w:t>其他</w:t>
      </w:r>
      <w:r>
        <w:rPr>
          <w:rFonts w:hint="eastAsia" w:ascii="宋体" w:hAnsi="宋体" w:cs="宋体"/>
          <w:snapToGrid w:val="0"/>
          <w:color w:val="auto"/>
          <w:sz w:val="21"/>
          <w:szCs w:val="21"/>
          <w:highlight w:val="none"/>
        </w:rPr>
        <w:t>违约</w:t>
      </w:r>
      <w:r>
        <w:rPr>
          <w:rFonts w:hint="eastAsia" w:ascii="宋体" w:hAnsi="宋体" w:cs="宋体"/>
          <w:snapToGrid w:val="0"/>
          <w:color w:val="auto"/>
          <w:sz w:val="21"/>
          <w:szCs w:val="21"/>
          <w:highlight w:val="none"/>
          <w:lang w:eastAsia="zh-CN"/>
        </w:rPr>
        <w:t>金</w:t>
      </w:r>
      <w:r>
        <w:rPr>
          <w:rFonts w:hint="eastAsia" w:ascii="宋体" w:hAnsi="宋体" w:cs="宋体"/>
          <w:snapToGrid w:val="0"/>
          <w:color w:val="auto"/>
          <w:sz w:val="21"/>
          <w:szCs w:val="21"/>
          <w:highlight w:val="none"/>
        </w:rPr>
        <w:t>。中标人各类违约情况</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，详见</w:t>
      </w:r>
      <w:r>
        <w:rPr>
          <w:rFonts w:hint="eastAsia" w:ascii="宋体" w:hAnsi="宋体" w:cs="宋体"/>
          <w:snapToGrid w:val="0"/>
          <w:color w:val="auto"/>
          <w:sz w:val="21"/>
          <w:szCs w:val="21"/>
          <w:highlight w:val="none"/>
          <w:lang w:val="en-US" w:eastAsia="zh-CN"/>
        </w:rPr>
        <w:t>采购需求</w:t>
      </w:r>
      <w:r>
        <w:rPr>
          <w:rFonts w:hint="eastAsia" w:ascii="宋体" w:hAnsi="宋体" w:cs="宋体"/>
          <w:snapToGrid w:val="0"/>
          <w:color w:val="auto"/>
          <w:sz w:val="21"/>
          <w:szCs w:val="21"/>
          <w:highlight w:val="none"/>
        </w:rPr>
        <w:t xml:space="preserve">“违约责任 </w:t>
      </w:r>
      <w:r>
        <w:rPr>
          <w:rFonts w:hint="eastAsia" w:ascii="宋体" w:hAnsi="宋体" w:cs="宋体"/>
          <w:snapToGrid w:val="0"/>
          <w:color w:val="auto"/>
          <w:sz w:val="21"/>
          <w:szCs w:val="21"/>
          <w:highlight w:val="none"/>
          <w:lang w:val="en-US" w:eastAsia="zh-CN"/>
        </w:rPr>
        <w:t>1</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10</w:t>
      </w:r>
      <w:r>
        <w:rPr>
          <w:rFonts w:hint="eastAsia" w:ascii="宋体" w:hAnsi="宋体" w:cs="宋体"/>
          <w:snapToGrid w:val="0"/>
          <w:color w:val="auto"/>
          <w:sz w:val="21"/>
          <w:szCs w:val="21"/>
          <w:highlight w:val="none"/>
        </w:rPr>
        <w:t>”所列举的事项。</w:t>
      </w:r>
    </w:p>
    <w:p w14:paraId="71D04037">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在依次扣减上述相应</w:t>
      </w:r>
      <w:r>
        <w:rPr>
          <w:rFonts w:hint="eastAsia" w:ascii="宋体" w:hAnsi="宋体" w:cs="宋体"/>
          <w:snapToGrid w:val="0"/>
          <w:color w:val="auto"/>
          <w:sz w:val="21"/>
          <w:szCs w:val="21"/>
          <w:highlight w:val="none"/>
          <w:lang w:eastAsia="zh-CN"/>
        </w:rPr>
        <w:t>违约金</w:t>
      </w:r>
      <w:r>
        <w:rPr>
          <w:rFonts w:hint="eastAsia" w:ascii="宋体" w:hAnsi="宋体" w:cs="宋体"/>
          <w:snapToGrid w:val="0"/>
          <w:color w:val="auto"/>
          <w:sz w:val="21"/>
          <w:szCs w:val="21"/>
          <w:highlight w:val="none"/>
        </w:rPr>
        <w:t>后，采购人支付当期应付的结算款项。</w:t>
      </w:r>
    </w:p>
    <w:p w14:paraId="128EA6E9">
      <w:pPr>
        <w:adjustRightInd w:val="0"/>
        <w:snapToGrid w:val="0"/>
        <w:spacing w:line="560" w:lineRule="exact"/>
        <w:ind w:firstLine="420" w:firstLineChars="200"/>
        <w:rPr>
          <w:rFonts w:hint="eastAsia" w:ascii="宋体" w:hAnsi="宋体" w:cs="宋体"/>
          <w:color w:val="auto"/>
          <w:szCs w:val="21"/>
          <w:highlight w:val="none"/>
          <w:lang w:eastAsia="de-DE"/>
        </w:rPr>
      </w:pPr>
      <w:r>
        <w:rPr>
          <w:rFonts w:hint="eastAsia" w:ascii="宋体" w:hAnsi="宋体" w:cs="宋体"/>
          <w:color w:val="auto"/>
          <w:szCs w:val="21"/>
          <w:highlight w:val="none"/>
        </w:rPr>
        <w:t>3.</w:t>
      </w:r>
      <w:r>
        <w:rPr>
          <w:rFonts w:hint="eastAsia" w:ascii="宋体" w:hAnsi="宋体" w:cs="宋体"/>
          <w:color w:val="auto"/>
          <w:szCs w:val="21"/>
          <w:highlight w:val="none"/>
          <w:lang w:eastAsia="de-DE"/>
        </w:rPr>
        <w:t>付款方式</w:t>
      </w:r>
    </w:p>
    <w:p w14:paraId="4353E9B7">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本项目招标的服务期限为24个月，每12个月为一个服务周期。</w:t>
      </w:r>
      <w:r>
        <w:rPr>
          <w:rFonts w:hint="eastAsia" w:ascii="宋体" w:hAnsi="宋体" w:cs="宋体"/>
          <w:snapToGrid w:val="0"/>
          <w:color w:val="auto"/>
          <w:sz w:val="21"/>
          <w:szCs w:val="21"/>
          <w:highlight w:val="none"/>
          <w:lang w:val="en-US" w:eastAsia="zh-CN"/>
        </w:rPr>
        <w:t>合同采用一年一签的方式，采购人将根据上级对项目资金使用规定、12366转型升级对服务外包团队采购要求的变化以及合同期内合同履行情况进行验收考核的结果，决定是否续签或重新采购。</w:t>
      </w:r>
      <w:r>
        <w:rPr>
          <w:rFonts w:hint="eastAsia" w:ascii="宋体" w:hAnsi="宋体" w:cs="宋体"/>
          <w:snapToGrid w:val="0"/>
          <w:color w:val="auto"/>
          <w:sz w:val="21"/>
          <w:szCs w:val="21"/>
          <w:highlight w:val="none"/>
        </w:rPr>
        <w:t>合同期内，采购人按季度对中标人进行考核验收，并出具季度验收报告，验收报告应包括采购需求“考核指标”中所有内容。</w:t>
      </w:r>
    </w:p>
    <w:p w14:paraId="17E1E228">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具体如下：</w:t>
      </w:r>
    </w:p>
    <w:p w14:paraId="59A61F36">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本项目共安排9次验收。第1次验收主要围绕中标服务人员是否按要求全部到位，其余8次验收主要围绕12366畅通率、咨询即时答复率、服务满意率、解答质量、业务培训、业务测试通过率、服务投诉、员工稳定性等指标，按季对中标人进行考核，如福建省税务局、市政府等上级部门对采购人的工作要求发生变化的，考核内容和要求将结合采购人实际工作情况予以调整。</w:t>
      </w:r>
    </w:p>
    <w:p w14:paraId="6DEE1380">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验收时间：第1次验收时间为合同生效之日；第2次验收时间为第一年服务期的第4个月；第3次验收时间为第一年服务期的第7个月；第4次验收时间为第一年服务期的第10个月；第5次验收时间为第一年服务期届满；第6次验收时间为第二年服务期的第4个月；第7次验收时间为第二年服务期的第7个月；第8次验收时间为第二年服务期的第10个月；第9次验收时间为第二年服务期届满。</w:t>
      </w:r>
    </w:p>
    <w:p w14:paraId="5D2ECC61">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付款安排：付款时间和验收时间一致，经采购人书面确认验收合格后，中标人提供书面付款申请报告和发票并经采购人审核合格后付款。</w:t>
      </w:r>
    </w:p>
    <w:p w14:paraId="736FB4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第1次至第5次付款，采购人每次支付合同第一年服务期款项的20%，即合同金额10.00%的款项。</w:t>
      </w:r>
    </w:p>
    <w:p w14:paraId="54BF165A">
      <w:pPr>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szCs w:val="21"/>
          <w:highlight w:val="none"/>
        </w:rPr>
        <w:t>若双方续签第二年合同，则</w:t>
      </w:r>
      <w:r>
        <w:rPr>
          <w:rFonts w:hint="eastAsia" w:ascii="宋体" w:hAnsi="宋体" w:cs="宋体"/>
          <w:color w:val="auto"/>
          <w:szCs w:val="21"/>
          <w:highlight w:val="none"/>
        </w:rPr>
        <w:t>第6次至第9次付款,采购人每次支付第二年服务周期款项的25%，即合同金额12.50%的款项。</w:t>
      </w:r>
    </w:p>
    <w:p w14:paraId="246C167E">
      <w:pPr>
        <w:pStyle w:val="33"/>
        <w:spacing w:line="56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注：中标人向采购人申请支付每笔款项时均应向采购人提供书面付款申请报告及由中标人开具的合法、有效、等额的正式发票。</w:t>
      </w:r>
    </w:p>
    <w:p w14:paraId="1F810E88">
      <w:pPr>
        <w:pStyle w:val="25"/>
        <w:ind w:firstLine="367" w:firstLineChars="175"/>
        <w:rPr>
          <w:rFonts w:ascii="宋体" w:hAnsi="宋体" w:cs="宋体"/>
          <w:i/>
          <w:color w:val="auto"/>
          <w:sz w:val="21"/>
          <w:szCs w:val="21"/>
          <w:highlight w:val="none"/>
        </w:rPr>
      </w:pPr>
      <w:r>
        <w:rPr>
          <w:rFonts w:ascii="宋体" w:hAnsi="宋体" w:cs="宋体"/>
          <w:snapToGrid w:val="0"/>
          <w:color w:val="auto"/>
          <w:sz w:val="21"/>
          <w:szCs w:val="21"/>
          <w:highlight w:val="none"/>
        </w:rPr>
        <w:t>上述款项由采购人转账支付至合同约定的中标人账户。</w:t>
      </w:r>
    </w:p>
    <w:p w14:paraId="5BEC061D">
      <w:pPr>
        <w:pStyle w:val="3"/>
        <w:keepNext w:val="0"/>
        <w:spacing w:line="580" w:lineRule="exact"/>
        <w:ind w:firstLine="0" w:firstLineChars="0"/>
        <w:rPr>
          <w:bCs/>
          <w:color w:val="auto"/>
          <w:sz w:val="28"/>
          <w:szCs w:val="28"/>
          <w:highlight w:val="none"/>
        </w:rPr>
      </w:pPr>
      <w:bookmarkStart w:id="58" w:name="_Toc129529572"/>
      <w:bookmarkStart w:id="59" w:name="_Toc132880289"/>
      <w:r>
        <w:rPr>
          <w:rFonts w:hint="eastAsia"/>
          <w:bCs/>
          <w:color w:val="auto"/>
          <w:sz w:val="28"/>
          <w:szCs w:val="28"/>
          <w:highlight w:val="none"/>
        </w:rPr>
        <w:t>四、其他事项</w:t>
      </w:r>
      <w:bookmarkEnd w:id="58"/>
      <w:bookmarkEnd w:id="59"/>
    </w:p>
    <w:p w14:paraId="52175616">
      <w:pPr>
        <w:pStyle w:val="25"/>
        <w:spacing w:line="360" w:lineRule="auto"/>
        <w:ind w:firstLine="367" w:firstLineChars="175"/>
        <w:jc w:val="both"/>
        <w:rPr>
          <w:rFonts w:ascii="宋体" w:hAnsi="宋体" w:cs="宋体"/>
          <w:bCs/>
          <w:color w:val="auto"/>
          <w:sz w:val="24"/>
          <w:szCs w:val="24"/>
          <w:highlight w:val="none"/>
        </w:rPr>
      </w:pPr>
      <w:r>
        <w:rPr>
          <w:rFonts w:ascii="宋体" w:hAnsi="宋体" w:cs="宋体"/>
          <w:bCs/>
          <w:color w:val="auto"/>
          <w:sz w:val="21"/>
          <w:szCs w:val="21"/>
          <w:highlight w:val="none"/>
        </w:rPr>
        <w:t>除招标文件另有规定外，若出现有关法律、法规和规章有强制性规定但招标文件未列明的情形，则投标人应按照有关法律、法规和规章强制性规定执行。</w:t>
      </w:r>
    </w:p>
    <w:p w14:paraId="48BADD30">
      <w:pPr>
        <w:pStyle w:val="24"/>
        <w:ind w:left="420" w:leftChars="200"/>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MetaPlusLF">
    <w:altName w:val="Segoe Print"/>
    <w:panose1 w:val="00000000000000000000"/>
    <w:charset w:val="00"/>
    <w:family w:val="auto"/>
    <w:pitch w:val="default"/>
    <w:sig w:usb0="00000000" w:usb1="00000000" w:usb2="00000000" w:usb3="00000000" w:csb0="00000097"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E6ED">
    <w:pPr>
      <w:jc w:val="center"/>
      <w:rPr>
        <w:rFonts w:hint="eastAsia"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C05F2">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8EC05F2">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49D9">
    <w:pPr>
      <w:jc w:val="center"/>
      <w:rPr>
        <w:rFonts w:hint="eastAsia"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EB51A">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BAEB51A">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08DB">
    <w:pPr>
      <w:pStyle w:val="13"/>
      <w:framePr w:wrap="around" w:vAnchor="text" w:hAnchor="margin" w:xAlign="center" w:y="1"/>
      <w:rPr>
        <w:rStyle w:val="21"/>
      </w:rPr>
    </w:pPr>
    <w:r>
      <w:fldChar w:fldCharType="begin"/>
    </w:r>
    <w:r>
      <w:rPr>
        <w:rStyle w:val="21"/>
      </w:rPr>
      <w:instrText xml:space="preserve">PAGE  </w:instrText>
    </w:r>
    <w:r>
      <w:fldChar w:fldCharType="end"/>
    </w:r>
  </w:p>
  <w:p w14:paraId="1A3774B9">
    <w:pPr>
      <w:pStyle w:val="13"/>
    </w:pPr>
  </w:p>
  <w:p w14:paraId="2365139B"/>
  <w:p w14:paraId="4988B898"/>
  <w:p w14:paraId="3239C1A8"/>
  <w:p w14:paraId="719E16FC"/>
  <w:p w14:paraId="013E9553"/>
  <w:p w14:paraId="2CE2E2FF"/>
  <w:p w14:paraId="5DFFE5C1"/>
  <w:p w14:paraId="7BD827E7"/>
  <w:p w14:paraId="69CF9AF8"/>
  <w:p w14:paraId="32348AD8"/>
  <w:p w14:paraId="1CA16B18"/>
  <w:p w14:paraId="228FF682"/>
  <w:p w14:paraId="4105B091"/>
  <w:p w14:paraId="7B6B7A03"/>
  <w:p w14:paraId="7AB20DE1"/>
  <w:p w14:paraId="3F57D0B2"/>
  <w:p w14:paraId="49719BB4"/>
  <w:p w14:paraId="046B6A43"/>
  <w:p w14:paraId="74E4CDDF"/>
  <w:p w14:paraId="23970CB7"/>
  <w:p w14:paraId="3CF2F886"/>
  <w:p w14:paraId="1E185CC4"/>
  <w:p w14:paraId="55D89726"/>
  <w:p w14:paraId="52A8E0F9"/>
  <w:p w14:paraId="62D3D813"/>
  <w:p w14:paraId="603BFBDA"/>
  <w:p w14:paraId="2A054AA3"/>
  <w:p w14:paraId="090A5058"/>
  <w:p w14:paraId="0D747CCD"/>
  <w:p w14:paraId="7BE59242"/>
  <w:p w14:paraId="4DD2D7E4"/>
  <w:p w14:paraId="41119641"/>
  <w:p w14:paraId="3365442D"/>
  <w:p w14:paraId="2B4FDC59"/>
  <w:p w14:paraId="7802208E"/>
  <w:p w14:paraId="30F742E0"/>
  <w:p w14:paraId="5D05637D"/>
  <w:p w14:paraId="139C4178"/>
  <w:p w14:paraId="24315F6F"/>
  <w:p w14:paraId="315851B7"/>
  <w:p w14:paraId="0A0027AF"/>
  <w:p w14:paraId="2CFBD269"/>
  <w:p w14:paraId="235E9B0D"/>
  <w:p w14:paraId="0C90E6A0"/>
  <w:p w14:paraId="18368821"/>
  <w:p w14:paraId="1D2512D3"/>
  <w:p w14:paraId="7BC81EA8"/>
  <w:p w14:paraId="30E8DEFA"/>
  <w:p w14:paraId="686C38DC"/>
  <w:p w14:paraId="0A5895C4"/>
  <w:p w14:paraId="460FE57E"/>
  <w:p w14:paraId="0A6975B8"/>
  <w:p w14:paraId="11102F36"/>
  <w:p w14:paraId="3E5E8E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235D">
    <w:pPr>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40C6">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32440C6">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7DB2">
    <w:pPr>
      <w:spacing w:line="176" w:lineRule="auto"/>
      <w:ind w:left="9184"/>
      <w:rPr>
        <w:rFonts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FD86C">
                          <w:pPr>
                            <w:pStyle w:val="1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7FFD86C">
                    <w:pPr>
                      <w:pStyle w:val="1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9CAF"/>
  <w:p w14:paraId="3ECCB738"/>
  <w:p w14:paraId="6561940D"/>
  <w:p w14:paraId="4F32ECD7"/>
  <w:p w14:paraId="68A02734"/>
  <w:p w14:paraId="1E445787"/>
  <w:p w14:paraId="5333FD28"/>
  <w:p w14:paraId="54B51DBE"/>
  <w:p w14:paraId="64AD9DD8"/>
  <w:p w14:paraId="3D99111D"/>
  <w:p w14:paraId="5DF525AA"/>
  <w:p w14:paraId="2C568A14"/>
  <w:p w14:paraId="126E0C5D"/>
  <w:p w14:paraId="65A7C4E2"/>
  <w:p w14:paraId="31B589EE"/>
  <w:p w14:paraId="1C5AE316"/>
  <w:p w14:paraId="3875FCB4"/>
  <w:p w14:paraId="738C172F"/>
  <w:p w14:paraId="6441569A"/>
  <w:p w14:paraId="72CF843D"/>
  <w:p w14:paraId="60BA1C66"/>
  <w:p w14:paraId="67BD36FC"/>
  <w:p w14:paraId="246222EE"/>
  <w:p w14:paraId="7EB68769"/>
  <w:p w14:paraId="48C74C7C"/>
  <w:p w14:paraId="6FBBB169"/>
  <w:p w14:paraId="044E9C9F"/>
  <w:p w14:paraId="409D6C35"/>
  <w:p w14:paraId="3EEA9CC9"/>
  <w:p w14:paraId="555B6F61"/>
  <w:p w14:paraId="4D0DE704"/>
  <w:p w14:paraId="0EEE01F9"/>
  <w:p w14:paraId="3507C7A1"/>
  <w:p w14:paraId="44FF1AA3"/>
  <w:p w14:paraId="2E1D2952"/>
  <w:p w14:paraId="6957706F"/>
  <w:p w14:paraId="4FA37B5C"/>
  <w:p w14:paraId="52650C8B"/>
  <w:p w14:paraId="46A7A6D9"/>
  <w:p w14:paraId="6C5EA5D6"/>
  <w:p w14:paraId="5B299B6F"/>
  <w:p w14:paraId="35ABBF82"/>
  <w:p w14:paraId="10D0B9CC"/>
  <w:p w14:paraId="1B8B38B7"/>
  <w:p w14:paraId="61C54371"/>
  <w:p w14:paraId="50479355"/>
  <w:p w14:paraId="0785C584"/>
  <w:p w14:paraId="4D5CE3A5"/>
  <w:p w14:paraId="4B9C7251"/>
  <w:p w14:paraId="7EF5C8AB"/>
  <w:p w14:paraId="779D16D2"/>
  <w:p w14:paraId="70D64A1E"/>
  <w:p w14:paraId="1C399F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A0FAE"/>
    <w:multiLevelType w:val="singleLevel"/>
    <w:tmpl w:val="E24A0FAE"/>
    <w:lvl w:ilvl="0" w:tentative="0">
      <w:start w:val="1"/>
      <w:numFmt w:val="decimal"/>
      <w:lvlText w:val="%1."/>
      <w:lvlJc w:val="left"/>
      <w:pPr>
        <w:tabs>
          <w:tab w:val="left" w:pos="312"/>
        </w:tabs>
      </w:pPr>
    </w:lvl>
  </w:abstractNum>
  <w:abstractNum w:abstractNumId="1">
    <w:nsid w:val="3E581343"/>
    <w:multiLevelType w:val="singleLevel"/>
    <w:tmpl w:val="3E581343"/>
    <w:lvl w:ilvl="0" w:tentative="0">
      <w:start w:val="1"/>
      <w:numFmt w:val="decimal"/>
      <w:pStyle w:val="8"/>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UzMzBjZDY5MmU2YjM1OGRmNDEzMTNjODIwNzgifQ=="/>
  </w:docVars>
  <w:rsids>
    <w:rsidRoot w:val="00350902"/>
    <w:rsid w:val="000E257E"/>
    <w:rsid w:val="001558F6"/>
    <w:rsid w:val="00350902"/>
    <w:rsid w:val="00501C53"/>
    <w:rsid w:val="005F5540"/>
    <w:rsid w:val="00754028"/>
    <w:rsid w:val="007A2DA2"/>
    <w:rsid w:val="00A45E2D"/>
    <w:rsid w:val="00AB01D3"/>
    <w:rsid w:val="00E068CA"/>
    <w:rsid w:val="00E654AE"/>
    <w:rsid w:val="01ED6347"/>
    <w:rsid w:val="02195557"/>
    <w:rsid w:val="02783976"/>
    <w:rsid w:val="0E324104"/>
    <w:rsid w:val="125724E4"/>
    <w:rsid w:val="141817CE"/>
    <w:rsid w:val="152359C3"/>
    <w:rsid w:val="17E92B58"/>
    <w:rsid w:val="18981C47"/>
    <w:rsid w:val="19E030CE"/>
    <w:rsid w:val="1FA41559"/>
    <w:rsid w:val="21C05901"/>
    <w:rsid w:val="2233109A"/>
    <w:rsid w:val="2967757B"/>
    <w:rsid w:val="296C3B08"/>
    <w:rsid w:val="2BE02DA5"/>
    <w:rsid w:val="2C387B78"/>
    <w:rsid w:val="2D093468"/>
    <w:rsid w:val="39713954"/>
    <w:rsid w:val="3FE31162"/>
    <w:rsid w:val="413F0FA5"/>
    <w:rsid w:val="56630BCA"/>
    <w:rsid w:val="58B23966"/>
    <w:rsid w:val="640F17B5"/>
    <w:rsid w:val="68173167"/>
    <w:rsid w:val="68C47431"/>
    <w:rsid w:val="6BF5364E"/>
    <w:rsid w:val="78480E70"/>
    <w:rsid w:val="78EB7B8A"/>
    <w:rsid w:val="7923306E"/>
    <w:rsid w:val="7B1D1513"/>
    <w:rsid w:val="7B77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ind w:firstLine="723" w:firstLineChars="200"/>
      <w:outlineLvl w:val="0"/>
    </w:pPr>
    <w:rPr>
      <w:rFonts w:eastAsia="仿宋"/>
      <w:b/>
      <w:kern w:val="44"/>
      <w:sz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8"/>
    <w:next w:val="9"/>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8">
    <w:name w:val="List Number 2"/>
    <w:basedOn w:val="1"/>
    <w:qFormat/>
    <w:uiPriority w:val="0"/>
    <w:pPr>
      <w:numPr>
        <w:ilvl w:val="0"/>
        <w:numId w:val="1"/>
      </w:numPr>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text"/>
    <w:basedOn w:val="1"/>
    <w:link w:val="35"/>
    <w:qFormat/>
    <w:uiPriority w:val="0"/>
    <w:pPr>
      <w:jc w:val="left"/>
    </w:pPr>
  </w:style>
  <w:style w:type="paragraph" w:styleId="11">
    <w:name w:val="Body Text"/>
    <w:basedOn w:val="1"/>
    <w:qFormat/>
    <w:uiPriority w:val="1"/>
    <w:rPr>
      <w:b/>
      <w:szCs w:val="24"/>
    </w:rPr>
  </w:style>
  <w:style w:type="paragraph" w:styleId="12">
    <w:name w:val="Plain Text"/>
    <w:basedOn w:val="1"/>
    <w:unhideWhenUsed/>
    <w:qFormat/>
    <w:uiPriority w:val="99"/>
    <w:rPr>
      <w:rFonts w:ascii="宋体" w:hAnsi="Courier New" w:cs="Courier New"/>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annotation subject"/>
    <w:basedOn w:val="10"/>
    <w:next w:val="10"/>
    <w:link w:val="36"/>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Hyperlink"/>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customStyle="1" w:styleId="25">
    <w:name w:val="null3"/>
    <w:qFormat/>
    <w:uiPriority w:val="0"/>
    <w:rPr>
      <w:rFonts w:hint="eastAsia" w:ascii="Calibri" w:hAnsi="Calibri" w:eastAsia="宋体" w:cs="Times New Roman"/>
      <w:lang w:val="en-US" w:eastAsia="zh-CN" w:bidi="ar-SA"/>
    </w:rPr>
  </w:style>
  <w:style w:type="paragraph" w:customStyle="1" w:styleId="26">
    <w:name w:val="样式1"/>
    <w:basedOn w:val="1"/>
    <w:qFormat/>
    <w:uiPriority w:val="0"/>
    <w:pPr>
      <w:jc w:val="center"/>
    </w:pPr>
    <w:rPr>
      <w:rFonts w:eastAsia="方正大标宋简体"/>
      <w:sz w:val="52"/>
    </w:rPr>
  </w:style>
  <w:style w:type="paragraph" w:customStyle="1" w:styleId="27">
    <w:name w:val="Normal Indent1"/>
    <w:autoRedefine/>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8">
    <w:name w:val="MsoNormal"/>
    <w:basedOn w:val="1"/>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15"/>
    <w:basedOn w:val="1"/>
    <w:qFormat/>
    <w:uiPriority w:val="0"/>
  </w:style>
  <w:style w:type="paragraph" w:customStyle="1" w:styleId="31">
    <w:name w:val="17"/>
    <w:basedOn w:val="1"/>
    <w:qFormat/>
    <w:uiPriority w:val="0"/>
  </w:style>
  <w:style w:type="paragraph" w:customStyle="1" w:styleId="32">
    <w:name w:val="修订1"/>
    <w:hidden/>
    <w:unhideWhenUsed/>
    <w:qFormat/>
    <w:uiPriority w:val="99"/>
    <w:rPr>
      <w:rFonts w:ascii="Calibri" w:hAnsi="Calibri" w:eastAsia="宋体" w:cs="Times New Roman"/>
      <w:kern w:val="2"/>
      <w:sz w:val="21"/>
      <w:szCs w:val="22"/>
      <w:lang w:val="en-US" w:eastAsia="zh-CN" w:bidi="ar-SA"/>
    </w:rPr>
  </w:style>
  <w:style w:type="paragraph" w:styleId="33">
    <w:name w:val="List Paragraph"/>
    <w:basedOn w:val="1"/>
    <w:qFormat/>
    <w:uiPriority w:val="0"/>
    <w:pPr>
      <w:ind w:firstLine="420" w:firstLineChars="200"/>
    </w:pPr>
    <w:rPr>
      <w:rFonts w:ascii="MetaPlusLF" w:hAnsi="MetaPlusLF"/>
      <w:sz w:val="20"/>
      <w:szCs w:val="20"/>
      <w:lang w:val="de-DE" w:eastAsia="de-DE"/>
    </w:rPr>
  </w:style>
  <w:style w:type="paragraph" w:customStyle="1" w:styleId="3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5">
    <w:name w:val="批注文字 字符"/>
    <w:basedOn w:val="20"/>
    <w:link w:val="10"/>
    <w:qFormat/>
    <w:uiPriority w:val="0"/>
    <w:rPr>
      <w:rFonts w:ascii="Calibri" w:hAnsi="Calibri"/>
      <w:kern w:val="2"/>
      <w:sz w:val="21"/>
      <w:szCs w:val="22"/>
    </w:rPr>
  </w:style>
  <w:style w:type="character" w:customStyle="1" w:styleId="36">
    <w:name w:val="批注主题 字符"/>
    <w:basedOn w:val="35"/>
    <w:link w:val="1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2414</Words>
  <Characters>2638</Characters>
  <Lines>365</Lines>
  <Paragraphs>102</Paragraphs>
  <TotalTime>1040</TotalTime>
  <ScaleCrop>false</ScaleCrop>
  <LinksUpToDate>false</LinksUpToDate>
  <CharactersWithSpaces>2741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2025-01-17T03:10:00Z</dcterms:created>
  <dc:creator>Administrator</dc:creator>
  <cp:lastModifiedBy>光耀火山</cp:lastModifiedBy>
  <dcterms:modified xsi:type="dcterms:W3CDTF">2025-04-14T03:12:25Z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904C846BB08A41B293AF43E6CDB83C38_13</vt:lpwstr>
  </property>
  <property fmtid="{D5CDD505-2E9C-101B-9397-08002B2CF9AE}" pid="4" name="KSOTemplateDocerSaveRecord">
    <vt:lpwstr>eyJoZGlkIjoiMjc3MzQxZjdjZTFhNzA4YWE1YmQzMzFjYWNjYTRjNjciLCJ1c2VySWQiOiI0MzY2NjcyMTkifQ==</vt:lpwstr>
  </property>
</Properties>
</file>